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ai-7/20</w:t>
      </w:r>
    </w:p>
    <w:p>
      <w:pPr>
        <w:pStyle w:val="Title"/>
      </w:pPr>
      <w:r>
        <w:t>Privacy and data governance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Privacy and data governance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Research ethics and consent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Sensitivity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Statistical tests and assumptions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Privacy and data governance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Privacy and </w:t>
      </w:r>
      <w:r>
        <w:rPr>
          <w:b/>
        </w:rPr>
        <w:t>data governance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Privacy and data governance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Privacy and </w:t>
      </w:r>
      <w:r>
        <w:rPr>
          <w:b/>
        </w:rPr>
        <w:t>data governance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Aggregate contains one member in a subgroup; policy forbids subgroup reports smaller than5.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Privacy and data governance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Privacy and data governance facts and keep your reasoning.</w:t>
      </w:r>
    </w:p>
    <w:p>
      <w:pPr>
        <w:spacing w:line="336" w:lineRule="auto" w:after="180"/>
      </w:pPr>
      <w:r>
        <w:rPr>
          <w:b w:val="0"/>
        </w:rPr>
        <w:t>Export has coded ID, exact birth date, classroom and rare condition. Team calls it anonymous because names are removed.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Privacy and data governance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size threshold or coding scheme alone does not guarantee privacy.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Privacy and data governance facts and keep your reasoning.</w:t>
      </w:r>
    </w:p>
    <w:p>
      <w:pPr>
        <w:spacing w:line="336" w:lineRule="auto" w:after="180"/>
      </w:pPr>
      <w:r>
        <w:rPr>
          <w:b w:val="0"/>
        </w:rPr>
        <w:t>Aggregate contains one member in a subgroup; policy forbids subgroup reports smaller than5.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Privacy and data governance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Privacy and data governance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privacy and </w:t>
      </w:r>
      <w:r>
        <w:rPr>
          <w:b/>
        </w:rPr>
        <w:t>data governance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privacy and </w:t>
      </w:r>
      <w:r>
        <w:rPr>
          <w:b/>
        </w:rPr>
        <w:t>data governance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Privacy and data governance</w:t>
      </w:r>
    </w:p>
    <w:p>
      <w:r>
        <w:t>Govern data by purpose and access. A fictional project needs task scores and random participant codes, but not names.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</w:t>
      </w:r>
    </w:p>
    <w:p>
      <w:pPr>
        <w:spacing w:line="336" w:lineRule="auto" w:after="180"/>
      </w:pPr>
      <w:r>
        <w:rPr>
          <w:b w:val="0"/>
        </w:rPr>
        <w:t>The analysis table holds codes and scores. A separate restricted key links codes to names only for authorised withdrawal handling.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ivacy and data governance. Separate tables: Keep analysis records apart from the identity key.. Limit access: Analysts receive scores and codes, not the name linkage.. Define retention: Apply the approved deletion schedule to both stores and list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Point to the analysis table and the restricted identity key. Why are the codes </w:t>
      </w:r>
      <w:r>
        <w:rPr>
          <w:b/>
        </w:rPr>
        <w:t>pseudonym</w:t>
      </w:r>
      <w:r>
        <w:rPr>
          <w:b w:val="0"/>
        </w:rPr>
        <w:t>ous rather than guaranteed anonymous, and what changes if the key is published?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Apply the approved deletion schedule to both stores and listed copies.</w:t>
      </w:r>
    </w:p>
    <w:p>
      <w:pPr>
        <w:spacing w:line="336" w:lineRule="auto" w:after="180"/>
        <w:shd w:fill="F4F9FC"/>
      </w:pPr>
      <w:r>
        <w:rPr>
          <w:b w:val="0"/>
        </w:rPr>
        <w:t>1. Define retention</w:t>
      </w:r>
    </w:p>
    <w:p>
      <w:pPr>
        <w:spacing w:line="336" w:lineRule="auto" w:after="180"/>
        <w:shd w:fill="F4F9FC"/>
      </w:pPr>
      <w:r>
        <w:rPr>
          <w:b w:val="0"/>
        </w:rPr>
        <w:t>2. Separate tables</w:t>
      </w:r>
    </w:p>
    <w:p>
      <w:pPr>
        <w:spacing w:line="336" w:lineRule="auto" w:after="180"/>
        <w:shd w:fill="F4F9FC"/>
      </w:pPr>
      <w:r>
        <w:rPr>
          <w:b w:val="0"/>
        </w:rPr>
        <w:t>3. Limit access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Define retention Apply the approved deletion schedule to both stores and listed copies.</w:t>
      </w:r>
    </w:p>
    <w:p>
      <w:pPr>
        <w:spacing w:line="336" w:lineRule="auto" w:after="180"/>
        <w:shd w:fill="F1F6FC"/>
      </w:pPr>
      <w:r>
        <w:rPr>
          <w:b/>
        </w:rPr>
        <w:t>Pseudonym</w:t>
      </w:r>
      <w:r>
        <w:rPr>
          <w:b w:val="0"/>
        </w:rPr>
        <w:t>ous codes reduce routine exposure but are not the same as irreversible anonymity. Governance specifies purpose, readers, locations and retention.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Publish the identity key with the analysis table.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records become directly linkable to names and breach this access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records become directly linkable to names and breach this access design. Separation only helps while the linkage key remains restricted.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Privacy and data governance picture from its labels, then record a relevant limit.</w:t>
      </w:r>
    </w:p>
    <w:p>
      <w:pPr>
        <w:pStyle w:val="Heading3"/>
      </w:pPr>
      <w:r>
        <w:t>01. Privacy and data governance: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Govern data by purpose and access. A fictional project needs task scores and random participant codes, but not names. Supplied facts: The analysis table holds codes and scores. A separate restricted key links codes to names only for authorised withdrawal hand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 Supplied facts: The analysis table holds codes and scores.</w:t>
      </w:r>
    </w:p>
    <w:p>
      <w:pPr>
        <w:spacing w:line="336" w:lineRule="auto" w:after="180"/>
      </w:pPr>
      <w:r>
        <w:rPr>
          <w:b w:val="0"/>
        </w:rPr>
        <w:t>A separate restricted key links codes to names only for authorised withdrawal handling.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eparate tables: Keep analysis records apart from the identity key. → Limit access: Analysts receive scores and codes, not the name linkage. → Define retention: Apply the approved deletion schedule to both stores and list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tables: Keep analysis records apart from the identity key. → Limit access: Analysts receive scores and codes, not the name linkage. → Define retention: Apply the approved deletion schedule to both stores and listed copies.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analysis records separate from the identity key</w:t>
      </w:r>
    </w:p>
    <w:p>
      <w:r>
        <w:drawing>
          <wp:inline xmlns:a="http://schemas.openxmlformats.org/drawingml/2006/main" xmlns:pic="http://schemas.openxmlformats.org/drawingml/2006/picture">
            <wp:extent cx="5486400" cy="3520440"/>
            <wp:docPr id="4" name="Picture 4" descr="Analysts receive random participant codes and scores. A separate restricted key links codes to names only for authorised withdrawal handling. Keeping the key restricted reduces exposure; it does not guarantee anonym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Analysts receive random participant codes and scores. A separate restricted key links codes to names only for authorised withdrawal handling. Keeping the key restricted reduces exposure; it does not guarantee anonymity.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pply the approved deletion schedule to both stores and listed copies. Changed condition: Publish the identity key with the analysis table. Expected result: The records become directly linkable to names and breach this access design. Reason: Separation only helps while the linkage key remains restri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Apply the approved deletion schedule to both stores and listed copies. Changed condition: Publish the identity key with the analysis table.</w:t>
      </w:r>
    </w:p>
    <w:p>
      <w:pPr>
        <w:spacing w:line="336" w:lineRule="auto" w:after="180"/>
      </w:pPr>
      <w:r>
        <w:rPr>
          <w:b w:val="0"/>
        </w:rPr>
        <w:t>Expected result: The records become directly linkable to names and breach this access design. Reason: Separation only helps while the linkage key remains restricted.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seudonymous codes reduce routine exposure but are not the same as irreversible anonymity. Governance specifies purpose, readers, locations and retention. Limit: Small groups or unusual records may still be identifiable without names; evaluate re-identification ris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Pseudonym</w:t>
      </w:r>
      <w:r>
        <w:rPr>
          <w:b w:val="0"/>
        </w:rPr>
        <w:t>ous codes reduce routine exposure but are not the same as irreversible anonymity. Governance specifies purpose, readers, locations and retention.</w:t>
      </w:r>
    </w:p>
    <w:p>
      <w:pPr>
        <w:spacing w:line="336" w:lineRule="auto" w:after="180"/>
      </w:pPr>
      <w:r>
        <w:rPr>
          <w:b w:val="0"/>
        </w:rPr>
        <w:t>Limit: Small groups or unusual records may still be identifiable without names; evaluate re-identification risk.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Point to the analysis table and the restricted identity key. Why are the codes pseudonymous rather than guaranteed anonymous, and what changes if the key is publish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 xml:space="preserve">Why are the codes </w:t>
      </w:r>
      <w:r>
        <w:rPr>
          <w:b/>
        </w:rPr>
        <w:t>pseudonym</w:t>
      </w:r>
      <w:r>
        <w:rPr>
          <w:b w:val="0"/>
        </w:rPr>
        <w:t>ous rather than guaranteed anonymous, and what changes if the key is published?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