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b/>
          <w:bCs/>
          <w:color w:val="0F5FA0"/>
          <w:spacing w:val="20"/>
          <w:sz w:val="28"/>
          <w:szCs w:val="28"/>
        </w:rPr>
        <w:t xml:space="preserve">PROJECT REPORT</w:t>
      </w:r>
    </w:p>
    <w:p>
      <w:pPr>
        <w:spacing w:after="100"/>
        <w:jc w:val="center"/>
      </w:pPr>
      <w:r>
        <w:rPr>
          <w:b/>
          <w:bCs/>
          <w:color w:val="0A3D62"/>
          <w:sz w:val="56"/>
          <w:szCs w:val="56"/>
        </w:rPr>
        <w:t xml:space="preserve">HemoCheck</w:t>
      </w:r>
    </w:p>
    <w:p>
      <w:pPr>
        <w:spacing w:after="400"/>
        <w:jc w:val="center"/>
      </w:pPr>
      <w:r>
        <w:rPr>
          <w:color w:val="45596E"/>
          <w:sz w:val="26"/>
          <w:szCs w:val="26"/>
        </w:rPr>
        <w:t xml:space="preserve">AI-Powered Anemia Prediction Web Application</w:t>
      </w:r>
    </w:p>
    <w:p>
      <w:pPr>
        <w:spacing w:after="40"/>
        <w:jc w:val="center"/>
      </w:pPr>
      <w:r>
        <w:rPr>
          <w:i/>
          <w:iCs/>
          <w:color w:val="8A9BAA"/>
          <w:sz w:val="20"/>
          <w:szCs w:val="20"/>
        </w:rPr>
        <w:t xml:space="preserve">A Machine Learning-Based Clinical Screening Tool</w:t>
      </w:r>
    </w:p>
    <w:p>
      <w:pPr>
        <w:spacing w:after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16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Application Name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HemoCheck</w:t>
            </w:r>
          </w:p>
        </w:tc>
      </w:tr>
      <w:tr>
        <w:tc>
          <w:tcPr>
            <w:tcW w:type="dxa" w:w="3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Full-Stack Machine Learning Web Application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HTML5, CSS3, Vanilla JavaScript</w:t>
            </w:r>
          </w:p>
        </w:tc>
      </w:tr>
      <w:tr>
        <w:tc>
          <w:tcPr>
            <w:tcW w:type="dxa" w:w="3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1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Python, Flask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scikit-learn (Random Forest Classifier)</w:t>
            </w:r>
          </w:p>
        </w:tc>
      </w:tr>
      <w:tr>
        <w:tc>
          <w:tcPr>
            <w:tcW w:type="dxa" w:w="3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Model Persistence</w:t>
            </w:r>
          </w:p>
        </w:tc>
        <w:tc>
          <w:tcPr>
            <w:tcW w:type="dxa" w:w="61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Pickle (model.pkl)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July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A3D62"/>
          <w:sz w:val="30"/>
          <w:szCs w:val="30"/>
        </w:rPr>
        <w:t xml:space="preserve">1. Introduction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HemoCheck is a full-stack web application that predicts the likelihood of anemia from a patient's Complete Blood Count (CBC) values. It combines a trained machine learning classification model with a clean, responsive, medically-themed user interface, allowing a user to enter their CBC parameters and instantly receive a prediction, a confidence score, a health status, and personalized health guidance.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The goal of the project is to demonstrate an end-to-end ML web application: data generation and model training, a Flask backend that serves predictions through a REST API, and a polished frontend that presents results in an accessible, non-alarming, and informative way.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Build a responsive, modern, medically-themed web interface for anemia screening.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Train a supervised classification model capable of distinguishing anemic from non-anemic CBC profiles.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Serve real-time predictions through a Flask REST API with server-side input validation.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Present results with a confidence score, health status, and tailored precautions, diet, and doctor-consultation advice.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Ensure the application is mobile-friendly and visually consistent across devices.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1.2 Scope and Disclaimer</w:t>
      </w:r>
    </w:p>
    <w:tbl>
      <w:tblPr>
        <w:tblW w:type="pct" w:w="100%"/>
        <w:tblBorders>
          <w:top w:val="single" w:color="DBE8F2" w:sz="4"/>
          <w:left w:val="single" w:color="E0553F" w:sz="2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C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E0553F"/>
                <w:sz w:val="21"/>
                <w:szCs w:val="21"/>
              </w:rPr>
              <w:t xml:space="preserve">Medical Disclaimer</w:t>
            </w:r>
          </w:p>
          <w:p>
            <w:pPr>
              <w:spacing w:after="0"/>
            </w:pPr>
            <w:r>
              <w:rPr>
                <w:color w:val="45596E"/>
                <w:sz w:val="20"/>
                <w:szCs w:val="20"/>
              </w:rPr>
              <w:t xml:space="preserve">HemoCheck is an educational and informational screening tool. It is not a certified diagnostic device and does not replace professional medical evaluation. All predictions should be confirmed with a licensed physician and standard laboratory diagnostics.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A3D62"/>
          <w:sz w:val="30"/>
          <w:szCs w:val="30"/>
        </w:rPr>
        <w:t xml:space="preserve">2. System Architecture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The application follows a simple three-tier architecture: a static frontend (HTML/CSS/JavaScript) communicates with a Flask backend over a JSON REST API, and the backend loads a pre-trained scikit-learn model bundle at startup to serve predictions.</w:t>
      </w:r>
    </w:p>
    <w:tbl>
      <w:tblPr>
        <w:tblW w:type="pct" w:w="100%"/>
        <w:tblBorders>
          <w:top w:val="single" w:color="DBE8F2" w:sz="4"/>
          <w:left w:val="single" w:color="DBE8F2" w:sz="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9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┌─────────────────┐      JSON / fetch()      ┌──────────────────┐      pickle.load()      ┌───────────────────┐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│   Frontend       │ ───────────────────────▶ │   Flask Backend   │ ───────────────────────▶ │  model.pkl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│  index.html      │ ◀─────────────────────── │   app.py           │ ◀───────────────────────  │  (RandomForest +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│  predict.html    │      Prediction JSON      │  /api/predict      │      Prediction          │   StandardScaler)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└─────────────────┘                            └──────────────────┘                            └───────────────────┘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2.1 Project Structure</w:t>
      </w:r>
    </w:p>
    <w:tbl>
      <w:tblPr>
        <w:tblW w:type="pct" w:w="100%"/>
        <w:tblBorders>
          <w:top w:val="single" w:color="DBE8F2" w:sz="4"/>
          <w:left w:val="single" w:color="DBE8F2" w:sz="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9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anemia-app/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├── app.py                  # Flask backend (routes + prediction API)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├── model.pkl               # Trained model bundle (RandomForest + scaler)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├── requirements.txt        # Python dependencies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├── model/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│   └── train_model.py      # Data generation &amp; model training script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├── templates/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│   ├── index.html          # Home page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│   └── predict.html        # Prediction form + results page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└── static/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  ├── css/style.css       # Design system, responsive layout, animations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  └── js/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      ├── main.js         # Shared behavior (mobile navigation)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      └── predict.js      # Form validation, API calls, result rendering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A3D62"/>
          <w:sz w:val="30"/>
          <w:szCs w:val="30"/>
        </w:rPr>
        <w:t xml:space="preserve">3. Frontend Design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The interface uses a clinical blue-and-white palette, paired with the Outfit typeface for headings and Inter for body text, to convey a calm, professional, medical tone. The layout is fully responsive, collapsing to a single-column mobile view below 720px, and includes hover states, entrance animations, and a floating animated CBC snapshot card in the hero section.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3.1 Home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Hero section with headline, call-to-action buttons, key statistics, and an animated CBC snapshot card.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About Anemia section explaining the condition, common symptoms, and normal CBC reference ranges.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Features section highlighting instant predictions, privacy, confidence scoring, and personalized guidance.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 four-step "How it Works" process explainer.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 call-to-action band directing users to the prediction page.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 footer with navigation, resources, contact information, and a medical disclaimer.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3.2 Prediction Page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The prediction form collects the following ten CBC and demographic parameters, each with inline validation against clinically realistic ranges: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rPr>
          <w:tblHeader/>
        </w:trPr>
        <w:tc>
          <w:tcPr>
            <w:tcW w:type="dxa" w:w="420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20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96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 Range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Age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years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0 – 120</w:t>
            </w:r>
          </w:p>
        </w:tc>
      </w:tr>
      <w:tr>
        <w:tc>
          <w:tcPr>
            <w:tcW w:type="dxa" w:w="4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Gender</w:t>
            </w:r>
          </w:p>
        </w:tc>
        <w:tc>
          <w:tcPr>
            <w:tcW w:type="dxa" w:w="2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Male / Female</w:t>
            </w:r>
          </w:p>
        </w:tc>
        <w:tc>
          <w:tcPr>
            <w:tcW w:type="dxa" w:w="29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Hemoglobin (Hb)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g/dL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3 – 20</w:t>
            </w:r>
          </w:p>
        </w:tc>
      </w:tr>
      <w:tr>
        <w:tc>
          <w:tcPr>
            <w:tcW w:type="dxa" w:w="4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RBC Count</w:t>
            </w:r>
          </w:p>
        </w:tc>
        <w:tc>
          <w:tcPr>
            <w:tcW w:type="dxa" w:w="2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M/µL</w:t>
            </w:r>
          </w:p>
        </w:tc>
        <w:tc>
          <w:tcPr>
            <w:tcW w:type="dxa" w:w="29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1.0 – 8.0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WBC Count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K/µL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1.0 – 30.0</w:t>
            </w:r>
          </w:p>
        </w:tc>
      </w:tr>
      <w:tr>
        <w:tc>
          <w:tcPr>
            <w:tcW w:type="dxa" w:w="4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Hematocrit (HCT)</w:t>
            </w:r>
          </w:p>
        </w:tc>
        <w:tc>
          <w:tcPr>
            <w:tcW w:type="dxa" w:w="2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%</w:t>
            </w:r>
          </w:p>
        </w:tc>
        <w:tc>
          <w:tcPr>
            <w:tcW w:type="dxa" w:w="29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10 – 65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Mean Corpuscular Volume (MCV)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fL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50 – 130</w:t>
            </w:r>
          </w:p>
        </w:tc>
      </w:tr>
      <w:tr>
        <w:tc>
          <w:tcPr>
            <w:tcW w:type="dxa" w:w="4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Mean Corpuscular Hemoglobin (MCH)</w:t>
            </w:r>
          </w:p>
        </w:tc>
        <w:tc>
          <w:tcPr>
            <w:tcW w:type="dxa" w:w="2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pg</w:t>
            </w:r>
          </w:p>
        </w:tc>
        <w:tc>
          <w:tcPr>
            <w:tcW w:type="dxa" w:w="29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10 – 45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MCH Concentration (MCHC)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g/dL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20 – 40</w:t>
            </w:r>
          </w:p>
        </w:tc>
      </w:tr>
      <w:tr>
        <w:tc>
          <w:tcPr>
            <w:tcW w:type="dxa" w:w="4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Platelet Count</w:t>
            </w:r>
          </w:p>
        </w:tc>
        <w:tc>
          <w:tcPr>
            <w:tcW w:type="dxa" w:w="22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x10³/µL</w:t>
            </w:r>
          </w:p>
        </w:tc>
        <w:tc>
          <w:tcPr>
            <w:tcW w:type="dxa" w:w="29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10 – 800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color w:val="1A1A1A"/>
          <w:sz w:val="21"/>
          <w:szCs w:val="21"/>
        </w:rPr>
        <w:t xml:space="preserve">Additional UI behavior on the prediction page includes: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Real-time field-level validation with clear error messages and colored field states.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 loading spinner on the Predict button while the API call is in progress.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 Reset button that clears the form and result panel.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 color-coded result card: teal for "No Anemia", coral for "Anemia Detected".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An animated confidence bar and toast notifications for input errors.</w:t>
      </w:r>
    </w:p>
    <w:p>
      <w:pPr>
        <w:pStyle w:val="Heading1"/>
        <w:spacing w:after="160" w:before="360"/>
      </w:pPr>
      <w:r>
        <w:rPr>
          <w:b/>
          <w:bCs/>
          <w:color w:val="0A3D62"/>
          <w:sz w:val="30"/>
          <w:szCs w:val="30"/>
        </w:rPr>
        <w:t xml:space="preserve">4. Machine Learning Model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4.1 Dataset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Since no labeled clinical dataset was supplied, a synthetic dataset of 6,000 samples was generated using clinically-grounded CBC reference ranges. Roughly half the samples were simulated as healthy and half as anemic (mild, moderate, and severe), drawn from gender-specific normal distributions with realistic physiological correlations — for example, Hematocrit tracking Hemoglobin via the standard "rule of three", and lower Mean Corpuscular Volume in anemic samples to reflect microcytic presentations.</w:t>
      </w:r>
    </w:p>
    <w:tbl>
      <w:tblPr>
        <w:tblW w:type="pct" w:w="100%"/>
        <w:tblBorders>
          <w:top w:val="single" w:color="DBE8F2" w:sz="4"/>
          <w:left w:val="single" w:color="0F5FA0" w:sz="2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C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F5FA0"/>
                <w:sz w:val="21"/>
                <w:szCs w:val="21"/>
              </w:rPr>
              <w:t xml:space="preserve">Note on Production Use</w:t>
            </w:r>
          </w:p>
          <w:p>
            <w:pPr>
              <w:spacing w:after="0"/>
            </w:pPr>
            <w:r>
              <w:rPr>
                <w:color w:val="45596E"/>
                <w:sz w:val="20"/>
                <w:szCs w:val="20"/>
              </w:rPr>
              <w:t xml:space="preserve">For clinical or production deployment, this synthetic dataset should be replaced with a real, properly licensed and de-identified clinical dataset. The training script (train_model.py) is structured so that a real dataset can be substituted directly.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4.2 Model Training Pipeline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Generate synthetic CBC data using gender-specific normal distributions for healthy and anemic classes.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Split data into training (80%) and testing (20%) sets, stratified by class.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Fit a StandardScaler on the training features.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Train a RandomForestClassifier (300 estimators, max depth 10, class-balanced weights).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Evaluate on the held-out test set using accuracy and a classification report.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Bundle the trained model, scaler, and feature order into a single pickle file (model.pkl).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4.3 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8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 Anemia</w:t>
            </w:r>
          </w:p>
        </w:tc>
        <w:tc>
          <w:tcPr>
            <w:tcW w:type="dxa" w:w="208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Anemia</w:t>
            </w:r>
          </w:p>
        </w:tc>
        <w:tc>
          <w:tcPr>
            <w:tcW w:type="dxa" w:w="208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Overall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Precision</w:t>
            </w:r>
          </w:p>
        </w:tc>
        <w:tc>
          <w:tcPr>
            <w:tcW w:type="dxa" w:w="2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0.99</w:t>
            </w:r>
          </w:p>
        </w:tc>
        <w:tc>
          <w:tcPr>
            <w:tcW w:type="dxa" w:w="2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0.99</w:t>
            </w:r>
          </w:p>
        </w:tc>
        <w:tc>
          <w:tcPr>
            <w:tcW w:type="dxa" w:w="2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Recall</w:t>
            </w:r>
          </w:p>
        </w:tc>
        <w:tc>
          <w:tcPr>
            <w:tcW w:type="dxa" w:w="208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0.99</w:t>
            </w:r>
          </w:p>
        </w:tc>
        <w:tc>
          <w:tcPr>
            <w:tcW w:type="dxa" w:w="208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0.99</w:t>
            </w:r>
          </w:p>
        </w:tc>
        <w:tc>
          <w:tcPr>
            <w:tcW w:type="dxa" w:w="208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F1-score</w:t>
            </w:r>
          </w:p>
        </w:tc>
        <w:tc>
          <w:tcPr>
            <w:tcW w:type="dxa" w:w="2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0.99</w:t>
            </w:r>
          </w:p>
        </w:tc>
        <w:tc>
          <w:tcPr>
            <w:tcW w:type="dxa" w:w="2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0.99</w:t>
            </w:r>
          </w:p>
        </w:tc>
        <w:tc>
          <w:tcPr>
            <w:tcW w:type="dxa" w:w="2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Accuracy</w:t>
            </w:r>
          </w:p>
        </w:tc>
        <w:tc>
          <w:tcPr>
            <w:tcW w:type="dxa" w:w="208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99.5%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color w:val="1A1A1A"/>
          <w:sz w:val="21"/>
          <w:szCs w:val="21"/>
        </w:rPr>
        <w:t xml:space="preserve">The high accuracy reflects the clean separability of the synthetic dataset. Real-world CBC data would be expected to show more overlap between classes, and the model should be retrained and re-validated on real clinical data before any diagnostic use.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4.4 Health Status and Recommendations Logic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In addition to the binary ML prediction (Anemia Detected / No Anemia) and its confidence score, the backend applies WHO-based hemoglobin thresholds — adjusted for gender — to classify severity into Normal, Mild, Moderate, or Severe. Each severity level maps to a curated set of precautions, diet recommendations, and doctor-consultation advice, returned alongside the prediction.</w:t>
      </w:r>
    </w:p>
    <w:p>
      <w:pPr>
        <w:pStyle w:val="Heading1"/>
        <w:spacing w:after="160" w:before="360"/>
      </w:pPr>
      <w:r>
        <w:rPr>
          <w:b/>
          <w:bCs/>
          <w:color w:val="0A3D62"/>
          <w:sz w:val="30"/>
          <w:szCs w:val="30"/>
        </w:rPr>
        <w:t xml:space="preserve">5. Backend and API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The Flask backend loads model.pkl once at startup and exposes the following routes: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56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Renders the home page</w:t>
            </w:r>
          </w:p>
        </w:tc>
      </w:tr>
      <w:tr>
        <w:tc>
          <w:tcPr>
            <w:tcW w:type="dxa" w:w="24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/predict</w:t>
            </w:r>
          </w:p>
        </w:tc>
        <w:tc>
          <w:tcPr>
            <w:tcW w:type="dxa" w:w="14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5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Renders the prediction form page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/api/predict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Accepts CBC values as JSON, returns prediction, confidence, health status, and recommendations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5.1 Sample Request</w:t>
      </w:r>
    </w:p>
    <w:tbl>
      <w:tblPr>
        <w:tblW w:type="pct" w:w="100%"/>
        <w:tblBorders>
          <w:top w:val="single" w:color="DBE8F2" w:sz="4"/>
          <w:left w:val="single" w:color="DBE8F2" w:sz="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9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POST /api/predict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Content-Type: application/json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"Age": 34, "Gender": 0, "Hemoglobin": 7.2, "RBC": 3.0,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"WBC": 6.5, "HCT": 22, "MCV": 75, "MCH": 22,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"MCHC": 29, "Platelets": 230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5.2 Sample Response</w:t>
      </w:r>
    </w:p>
    <w:tbl>
      <w:tblPr>
        <w:tblW w:type="pct" w:w="100%"/>
        <w:tblBorders>
          <w:top w:val="single" w:color="DBE8F2" w:sz="4"/>
          <w:left w:val="single" w:color="DBE8F2" w:sz="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9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"success":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"prediction": "Anemia Detected",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"anemia_detected":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"confidence": 100.0,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"health_status": "Moderate Anemia",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"recommendations":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  "precautions": ["Reduce physical exertion and rest adequately.", "..."],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  "diet": ["Increase intake of red meat, eggs, beans...", "..."],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  "doctor_advice": "Consult a doctor within the next few days..."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1A1A1A"/>
          <w:sz w:val="21"/>
          <w:szCs w:val="21"/>
        </w:rPr>
        <w:t xml:space="preserve">The API also performs server-side validation of every field against the same clinical ranges enforced on the frontend, returning a 400 response with a descriptive error message for missing or out-of-range values.</w:t>
      </w:r>
    </w:p>
    <w:p>
      <w:pPr>
        <w:pStyle w:val="Heading1"/>
        <w:spacing w:after="160" w:before="360"/>
      </w:pPr>
      <w:r>
        <w:rPr>
          <w:b/>
          <w:bCs/>
          <w:color w:val="0A3D62"/>
          <w:sz w:val="30"/>
          <w:szCs w:val="30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760"/>
            <w:shd w:fill="0A3D6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HTML5, CSS3, Vanilla JavaScript, Google Fonts (Outfit, Inter)</w:t>
            </w:r>
          </w:p>
        </w:tc>
      </w:tr>
      <w:tr>
        <w:tc>
          <w:tcPr>
            <w:tcW w:type="dxa" w:w="26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7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Python 3, Flask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scikit-learn (RandomForestClassifier, StandardScaler)</w:t>
            </w:r>
          </w:p>
        </w:tc>
      </w:tr>
      <w:tr>
        <w:tc>
          <w:tcPr>
            <w:tcW w:type="dxa" w:w="260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6760"/>
            <w:shd w:fill="E6F2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Model Persistence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Pickle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A3D62"/>
          <w:sz w:val="30"/>
          <w:szCs w:val="30"/>
        </w:rPr>
        <w:t xml:space="preserve">7. Setup and Running the Application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Python 3.9 or later — 64-bit installation strongly recommended (see Section 8).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pip package manager.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7.2 Installation Steps</w:t>
      </w:r>
    </w:p>
    <w:tbl>
      <w:tblPr>
        <w:tblW w:type="pct" w:w="100%"/>
        <w:tblBorders>
          <w:top w:val="single" w:color="DBE8F2" w:sz="4"/>
          <w:left w:val="single" w:color="DBE8F2" w:sz="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9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cd anemia-app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python -m venv venv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venv\Scripts\activate        # Windows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source venv/bin/activate      # macOS / Linux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pip install --upgrade pip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7.3 (Re)training the Model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model.pkl is already included and ready to use. To regenerate it after modifying the training script:</w:t>
      </w:r>
    </w:p>
    <w:tbl>
      <w:tblPr>
        <w:tblW w:type="pct" w:w="100%"/>
        <w:tblBorders>
          <w:top w:val="single" w:color="DBE8F2" w:sz="4"/>
          <w:left w:val="single" w:color="DBE8F2" w:sz="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9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python model/train_model.py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7.4 Running the Server</w:t>
      </w:r>
    </w:p>
    <w:tbl>
      <w:tblPr>
        <w:tblW w:type="pct" w:w="100%"/>
        <w:tblBorders>
          <w:top w:val="single" w:color="DBE8F2" w:sz="4"/>
          <w:left w:val="single" w:color="DBE8F2" w:sz="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9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python app.py</w:t>
            </w:r>
          </w:p>
        </w:tc>
      </w:tr>
    </w:tbl>
    <w:p>
      <w:pPr>
        <w:spacing w:after="140" w:line="300"/>
      </w:pPr>
      <w:r>
        <w:rPr>
          <w:color w:val="1A1A1A"/>
          <w:sz w:val="21"/>
          <w:szCs w:val="21"/>
        </w:rPr>
        <w:t xml:space="preserve">Then open http://localhost:5000 in a browser. The home page is served at "/" and the prediction form at "/predict".</w:t>
      </w:r>
    </w:p>
    <w:p>
      <w:pPr>
        <w:pStyle w:val="Heading1"/>
        <w:spacing w:after="160" w:before="360"/>
      </w:pPr>
      <w:r>
        <w:rPr>
          <w:b/>
          <w:bCs/>
          <w:color w:val="0A3D62"/>
          <w:sz w:val="30"/>
          <w:szCs w:val="30"/>
        </w:rPr>
        <w:t xml:space="preserve">8. Environment Setup: Troubleshooting Log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During deployment on a Windows machine, installation of the pandas dependency failed. This section documents the root cause and resolution for reference.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8.1 Symptom</w:t>
      </w:r>
    </w:p>
    <w:tbl>
      <w:tblPr>
        <w:tblW w:type="pct" w:w="100%"/>
        <w:tblBorders>
          <w:top w:val="single" w:color="DBE8F2" w:sz="4"/>
          <w:left w:val="single" w:color="DBE8F2" w:sz="4"/>
          <w:bottom w:val="single" w:color="DBE8F2" w:sz="4"/>
          <w:right w:val="single" w:color="DBE8F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9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ERROR: Could not find C:\Program Files (x86)\Microsoft Visual Studio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      \Installer\vswhere.exe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A3D62"/>
                <w:sz w:val="19"/>
                <w:szCs w:val="19"/>
              </w:rPr>
              <w:t xml:space="preserve">ModuleNotFoundError: No module named 'numpy'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8.2 Root Cause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The installed Python interpreter was a 32-bit build (Python 3.9-32). Modern versions of pandas do not ship prebuilt 32-bit Windows wheels, so pip attempted to compile pandas from source using the Meson build system — which in turn requires Microsoft Visual Studio's C++ build tools. Since these were not installed, the build failed, and pandas (along with its dependency, numpy) was never installed.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8.3 Resolution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Install a 64-bit Python (3.12) using winget: winget install -e --id Python.Python.3.12 --source winget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Open a new terminal session so PATH and the "py" launcher pick up the new install.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Verify with: py -0 — confirm a "64-bit" 3.12 entry is listed.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Recreate the virtual environment explicitly from the 64-bit interpreter: py -3.12 -m venv venv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Activate with the correct PowerShell script: .\venv\Scripts\Activate.ps1 (running Set-ExecutionPolicy -Scope Process -ExecutionPolicy Bypass first if blocked by policy).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Confirm the venv is 64-bit: python -c "import platform; print(platform.architecture())" should print ('64bit', ...).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A1A"/>
          <w:sz w:val="21"/>
          <w:szCs w:val="21"/>
        </w:rPr>
        <w:t xml:space="preserve">Install dependencies and run: pip install -r requirements.txt then python app.py</w:t>
      </w:r>
    </w:p>
    <w:p>
      <w:pPr>
        <w:pStyle w:val="Heading2"/>
        <w:spacing w:after="120" w:before="280"/>
      </w:pPr>
      <w:r>
        <w:rPr>
          <w:b/>
          <w:bCs/>
          <w:color w:val="0F5FA0"/>
          <w:sz w:val="24"/>
          <w:szCs w:val="24"/>
        </w:rPr>
        <w:t xml:space="preserve">8.4 Key Lessons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Creating a virtual environment does not change architecture — a venv inherits the bitness of the interpreter used to create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PowerShell requires the explicit ".\" prefix and "Activate.ps1" filename to activate a venv; the bare "venv\Scripts\activate" syntax is a cmd.exe convention.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 newly installed Python version is only visible to "py -0" and PATH-based lookups in a freshly opened terminal session.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1"/>
          <w:szCs w:val="21"/>
        </w:rPr>
        <w:t xml:space="preserve">Always verify architecture with platform.architecture() before installing scientific packages, to avoid compiler-related build failures.</w:t>
      </w:r>
    </w:p>
    <w:p>
      <w:pPr>
        <w:pStyle w:val="Heading1"/>
        <w:spacing w:after="160" w:before="360"/>
      </w:pPr>
      <w:r>
        <w:rPr>
          <w:b/>
          <w:bCs/>
          <w:color w:val="0A3D62"/>
          <w:sz w:val="30"/>
          <w:szCs w:val="30"/>
        </w:rPr>
        <w:t xml:space="preserve">9. Conclusion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HemoCheck successfully demonstrates a complete, production-style machine learning web application: a trained Random Forest classifier served through a Flask REST API, wrapped in a responsive, accessible, medically-themed frontend. The project covers the full lifecycle — synthetic data generation, model training and evaluation, API design with validation, and a polished user experience — while clearly scoping its role as an informational tool rather than a diagnostic device.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Future enhancements could include training on a real, clinically validated dataset, adding user accounts to track CBC history over time, and extending the model to classify anemia subtypes (e.g. iron-deficiency, megaloblastic) based on MCV and MCH patterns.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BAA"/>
        <w:sz w:val="16"/>
        <w:szCs w:val="16"/>
      </w:rPr>
      <w:t xml:space="preserve">Page </w:t>
    </w:r>
    <w:r>
      <w:rPr>
        <w:color w:val="8A9B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BAA"/>
        <w:sz w:val="16"/>
        <w:szCs w:val="16"/>
      </w:rPr>
      <w:t xml:space="preserve"> of </w:t>
    </w:r>
    <w:r>
      <w:rPr>
        <w:color w:val="8A9B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BAA"/>
        <w:sz w:val="16"/>
        <w:szCs w:val="16"/>
      </w:rPr>
      <w:t xml:space="preserve">HemoCheck — Anemia Prediction Web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2026-07-09T06:37:58.332Z</dcterms:created>
  <dcterms:modified xsi:type="dcterms:W3CDTF">2026-07-09T06:37:58.346Z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