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jc w:val="center"/>
      </w:pPr>
      <w:r>
        <w:rPr>
          <w:rFonts w:ascii="Times New Roman" w:hAnsi="Times New Roman"/>
          <w:b/>
          <w:i w:val="0"/>
          <w:color w:val="1F4E79"/>
          <w:sz w:val="50"/>
        </w:rPr>
        <w:t>Lab 9 – Documentation as a Golden Path with TechDocs</w:t>
      </w:r>
    </w:p>
    <w:p>
      <w:pPr>
        <w:jc w:val="center"/>
      </w:pPr>
      <w:r>
        <w:rPr>
          <w:rFonts w:ascii="Times New Roman" w:hAnsi="Times New Roman"/>
          <w:b/>
          <w:i/>
          <w:color w:val="595959"/>
          <w:sz w:val="32"/>
        </w:rPr>
        <w:t>“Every Service Is Documented by Default”</w:t>
      </w:r>
    </w:p>
    <w:p/>
    <w:tbl>
      <w:tblPr>
        <w:tblStyle w:val="TableGrid"/>
        <w:tblW w:type="auto" w:w="0"/>
        <w:jc w:val="center"/>
        <w:tblLook w:firstColumn="1" w:firstRow="1" w:lastColumn="0" w:lastRow="0" w:noHBand="0" w:noVBand="1" w:val="04A0"/>
      </w:tblPr>
      <w:tblGrid>
        <w:gridCol w:w="4968"/>
        <w:gridCol w:w="4968"/>
      </w:tblGrid>
      <w:tr>
        <w:trPr>
          <w:cantSplit/>
        </w:trPr>
        <w:tc>
          <w:tcPr>
            <w:tcW w:type="dxa" w:w="2880"/>
            <w:shd w:fill="D9EAF7"/>
            <w:vAlign w:val="center"/>
            <w:tcMar>
              <w:top w:w="80" w:type="dxa"/>
              <w:start w:w="100" w:type="dxa"/>
              <w:bottom w:w="80" w:type="dxa"/>
              <w:end w:w="100" w:type="dxa"/>
            </w:tcMar>
          </w:tcPr>
          <w:p>
            <w:r>
              <w:rPr>
                <w:rFonts w:ascii="Times New Roman" w:hAnsi="Times New Roman"/>
                <w:b/>
                <w:i w:val="0"/>
                <w:sz w:val="21"/>
              </w:rPr>
              <w:t>Lab Attribute</w:t>
            </w:r>
          </w:p>
        </w:tc>
        <w:tc>
          <w:tcPr>
            <w:tcW w:type="dxa" w:w="6768"/>
            <w:shd w:fill="D9EAF7"/>
            <w:vAlign w:val="center"/>
            <w:tcMar>
              <w:top w:w="80" w:type="dxa"/>
              <w:start w:w="100" w:type="dxa"/>
              <w:bottom w:w="80" w:type="dxa"/>
              <w:end w:w="100" w:type="dxa"/>
            </w:tcMar>
          </w:tcPr>
          <w:p>
            <w:r>
              <w:rPr>
                <w:rFonts w:ascii="Times New Roman" w:hAnsi="Times New Roman"/>
                <w:b/>
                <w:i w:val="0"/>
                <w:sz w:val="21"/>
              </w:rPr>
              <w:t>Value</w:t>
            </w:r>
          </w:p>
        </w:tc>
      </w:tr>
      <w:tr>
        <w:trPr>
          <w:cantSplit/>
        </w:trPr>
        <w:tc>
          <w:tcPr>
            <w:tcW w:type="dxa" w:w="2880"/>
            <w:vAlign w:val="center"/>
            <w:tcMar>
              <w:top w:w="80" w:type="dxa"/>
              <w:start w:w="100" w:type="dxa"/>
              <w:bottom w:w="80" w:type="dxa"/>
              <w:end w:w="100" w:type="dxa"/>
            </w:tcMar>
          </w:tcPr>
          <w:p>
            <w:r>
              <w:rPr>
                <w:rFonts w:ascii="Times New Roman" w:hAnsi="Times New Roman"/>
                <w:b w:val="0"/>
                <w:i w:val="0"/>
                <w:sz w:val="21"/>
              </w:rPr>
              <w:t>Duration</w:t>
            </w:r>
          </w:p>
        </w:tc>
        <w:tc>
          <w:tcPr>
            <w:tcW w:type="dxa" w:w="6768"/>
            <w:vAlign w:val="center"/>
            <w:tcMar>
              <w:top w:w="80" w:type="dxa"/>
              <w:start w:w="100" w:type="dxa"/>
              <w:bottom w:w="80" w:type="dxa"/>
              <w:end w:w="100" w:type="dxa"/>
            </w:tcMar>
          </w:tcPr>
          <w:p>
            <w:r>
              <w:rPr>
                <w:rFonts w:ascii="Times New Roman" w:hAnsi="Times New Roman"/>
                <w:b w:val="0"/>
                <w:i w:val="0"/>
                <w:sz w:val="21"/>
              </w:rPr>
              <w:t>45–60 Minutes (plus optional 10-minute extension)</w:t>
            </w:r>
          </w:p>
        </w:tc>
      </w:tr>
      <w:tr>
        <w:trPr>
          <w:cantSplit/>
        </w:trPr>
        <w:tc>
          <w:tcPr>
            <w:tcW w:type="dxa" w:w="2880"/>
            <w:vAlign w:val="center"/>
            <w:tcMar>
              <w:top w:w="80" w:type="dxa"/>
              <w:start w:w="100" w:type="dxa"/>
              <w:bottom w:w="80" w:type="dxa"/>
              <w:end w:w="100" w:type="dxa"/>
            </w:tcMar>
          </w:tcPr>
          <w:p>
            <w:r>
              <w:rPr>
                <w:rFonts w:ascii="Times New Roman" w:hAnsi="Times New Roman"/>
                <w:b w:val="0"/>
                <w:i w:val="0"/>
                <w:sz w:val="21"/>
              </w:rPr>
              <w:t>Difficulty</w:t>
            </w:r>
          </w:p>
        </w:tc>
        <w:tc>
          <w:tcPr>
            <w:tcW w:type="dxa" w:w="6768"/>
            <w:vAlign w:val="center"/>
            <w:tcMar>
              <w:top w:w="80" w:type="dxa"/>
              <w:start w:w="100" w:type="dxa"/>
              <w:bottom w:w="80" w:type="dxa"/>
              <w:end w:w="100" w:type="dxa"/>
            </w:tcMar>
          </w:tcPr>
          <w:p>
            <w:r>
              <w:rPr>
                <w:rFonts w:ascii="Times New Roman" w:hAnsi="Times New Roman"/>
                <w:b w:val="0"/>
                <w:i w:val="0"/>
                <w:sz w:val="21"/>
              </w:rPr>
              <w:t>Intermediate</w:t>
            </w:r>
          </w:p>
        </w:tc>
      </w:tr>
      <w:tr>
        <w:trPr>
          <w:cantSplit/>
        </w:trPr>
        <w:tc>
          <w:tcPr>
            <w:tcW w:type="dxa" w:w="2880"/>
            <w:vAlign w:val="center"/>
            <w:tcMar>
              <w:top w:w="80" w:type="dxa"/>
              <w:start w:w="100" w:type="dxa"/>
              <w:bottom w:w="80" w:type="dxa"/>
              <w:end w:w="100" w:type="dxa"/>
            </w:tcMar>
          </w:tcPr>
          <w:p>
            <w:r>
              <w:rPr>
                <w:rFonts w:ascii="Times New Roman" w:hAnsi="Times New Roman"/>
                <w:b w:val="0"/>
                <w:i w:val="0"/>
                <w:sz w:val="21"/>
              </w:rPr>
              <w:t>Lab Type</w:t>
            </w:r>
          </w:p>
        </w:tc>
        <w:tc>
          <w:tcPr>
            <w:tcW w:type="dxa" w:w="6768"/>
            <w:vAlign w:val="center"/>
            <w:tcMar>
              <w:top w:w="80" w:type="dxa"/>
              <w:start w:w="100" w:type="dxa"/>
              <w:bottom w:w="80" w:type="dxa"/>
              <w:end w:w="100" w:type="dxa"/>
            </w:tcMar>
          </w:tcPr>
          <w:p>
            <w:r>
              <w:rPr>
                <w:rFonts w:ascii="Times New Roman" w:hAnsi="Times New Roman"/>
                <w:b w:val="0"/>
                <w:i w:val="0"/>
                <w:sz w:val="21"/>
              </w:rPr>
              <w:t>Hands-On Practical Lab</w:t>
            </w:r>
          </w:p>
        </w:tc>
      </w:tr>
      <w:tr>
        <w:trPr>
          <w:cantSplit/>
        </w:trPr>
        <w:tc>
          <w:tcPr>
            <w:tcW w:type="dxa" w:w="2880"/>
            <w:vAlign w:val="center"/>
            <w:tcMar>
              <w:top w:w="80" w:type="dxa"/>
              <w:start w:w="100" w:type="dxa"/>
              <w:bottom w:w="80" w:type="dxa"/>
              <w:end w:w="100" w:type="dxa"/>
            </w:tcMar>
          </w:tcPr>
          <w:p>
            <w:r>
              <w:rPr>
                <w:rFonts w:ascii="Times New Roman" w:hAnsi="Times New Roman"/>
                <w:b w:val="0"/>
                <w:i w:val="0"/>
                <w:sz w:val="21"/>
              </w:rPr>
              <w:t>Platform</w:t>
            </w:r>
          </w:p>
        </w:tc>
        <w:tc>
          <w:tcPr>
            <w:tcW w:type="dxa" w:w="6768"/>
            <w:vAlign w:val="center"/>
            <w:tcMar>
              <w:top w:w="80" w:type="dxa"/>
              <w:start w:w="100" w:type="dxa"/>
              <w:bottom w:w="80" w:type="dxa"/>
              <w:end w:w="100" w:type="dxa"/>
            </w:tcMar>
          </w:tcPr>
          <w:p>
            <w:r>
              <w:rPr>
                <w:rFonts w:ascii="Times New Roman" w:hAnsi="Times New Roman"/>
                <w:b w:val="0"/>
                <w:i w:val="0"/>
                <w:sz w:val="21"/>
              </w:rPr>
              <w:t>Backstage + TechDocs + MkDocs + GitHub</w:t>
            </w:r>
          </w:p>
        </w:tc>
      </w:tr>
      <w:tr>
        <w:trPr>
          <w:cantSplit/>
        </w:trPr>
        <w:tc>
          <w:tcPr>
            <w:tcW w:type="dxa" w:w="2880"/>
            <w:vAlign w:val="center"/>
            <w:tcMar>
              <w:top w:w="80" w:type="dxa"/>
              <w:start w:w="100" w:type="dxa"/>
              <w:bottom w:w="80" w:type="dxa"/>
              <w:end w:w="100" w:type="dxa"/>
            </w:tcMar>
          </w:tcPr>
          <w:p>
            <w:r>
              <w:rPr>
                <w:rFonts w:ascii="Times New Roman" w:hAnsi="Times New Roman"/>
                <w:b w:val="0"/>
                <w:i w:val="0"/>
                <w:sz w:val="21"/>
              </w:rPr>
              <w:t>Validated Runtime</w:t>
            </w:r>
          </w:p>
        </w:tc>
        <w:tc>
          <w:tcPr>
            <w:tcW w:type="dxa" w:w="6768"/>
            <w:vAlign w:val="center"/>
            <w:tcMar>
              <w:top w:w="80" w:type="dxa"/>
              <w:start w:w="100" w:type="dxa"/>
              <w:bottom w:w="80" w:type="dxa"/>
              <w:end w:w="100" w:type="dxa"/>
            </w:tcMar>
          </w:tcPr>
          <w:p>
            <w:r>
              <w:rPr>
                <w:rFonts w:ascii="Times New Roman" w:hAnsi="Times New Roman"/>
                <w:b w:val="0"/>
                <w:i w:val="0"/>
                <w:sz w:val="21"/>
              </w:rPr>
              <w:t>Ubuntu host with Docker-based TechDocs generation</w:t>
            </w:r>
          </w:p>
        </w:tc>
      </w:tr>
    </w:tbl>
    <w:p>
      <w:pPr>
        <w:spacing w:after="20"/>
      </w:pPr>
    </w:p>
    <w:tbl>
      <w:tblPr>
        <w:tblW w:type="auto" w:w="0"/>
        <w:jc w:val="left"/>
        <w:tblLook w:firstColumn="1" w:firstRow="1" w:lastColumn="0" w:lastRow="0" w:noHBand="0" w:noVBand="1" w:val="04A0"/>
      </w:tblPr>
      <w:tblGrid>
        <w:gridCol w:w="9936"/>
      </w:tblGrid>
      <w:tr>
        <w:tc>
          <w:tcPr>
            <w:tcW w:type="dxa" w:w="9936"/>
            <w:shd w:fill="E2F0D9"/>
            <w:tcMar>
              <w:top w:w="80" w:type="dxa"/>
              <w:start w:w="100" w:type="dxa"/>
              <w:bottom w:w="80" w:type="dxa"/>
              <w:end w:w="100" w:type="dxa"/>
            </w:tcMar>
          </w:tcPr>
          <w:p>
            <w:r>
              <w:rPr>
                <w:rFonts w:ascii="Times New Roman" w:hAnsi="Times New Roman"/>
                <w:b/>
                <w:i w:val="0"/>
                <w:sz w:val="22"/>
              </w:rPr>
              <w:t xml:space="preserve">Lab outcome: </w:t>
            </w:r>
            <w:r>
              <w:rPr>
                <w:rFonts w:ascii="Times New Roman" w:hAnsi="Times New Roman"/>
                <w:b w:val="0"/>
                <w:i w:val="0"/>
                <w:sz w:val="22"/>
              </w:rPr>
              <w:t>Participants extend the existing service Golden Path so every generated service contains a structured, multi-page TechDocs site and can be opened directly from the Backstage Catalog.</w:t>
            </w:r>
          </w:p>
        </w:tc>
      </w:tr>
    </w:tbl>
    <w:p>
      <w:pPr>
        <w:spacing w:after="20"/>
      </w:pPr>
    </w:p>
    <w:p>
      <w:r>
        <w:br w:type="page"/>
      </w:r>
    </w:p>
    <w:p>
      <w:pPr>
        <w:pStyle w:val="Heading1"/>
        <w:keepNext/>
      </w:pPr>
      <w:r>
        <w:t>Lab Objective</w:t>
      </w:r>
    </w:p>
    <w:p>
      <w:r>
        <w:rPr>
          <w:rFonts w:ascii="Times New Roman" w:hAnsi="Times New Roman"/>
          <w:b w:val="0"/>
          <w:i w:val="0"/>
          <w:sz w:val="23"/>
        </w:rPr>
        <w:t>In this lab, participants enhance the Internal Developer Platform so that documentation is treated as a platform capability rather than an optional team task. The service template will generate TechDocs configuration, metadata, navigation, and a useful starter documentation set automatically.</w:t>
      </w:r>
    </w:p>
    <w:p>
      <w:r>
        <w:rPr>
          <w:rFonts w:ascii="Times New Roman" w:hAnsi="Times New Roman"/>
          <w:b w:val="0"/>
          <w:i w:val="0"/>
          <w:sz w:val="23"/>
        </w:rPr>
        <w:t>Participants will:</w:t>
      </w:r>
    </w:p>
    <w:p>
      <w:pPr>
        <w:pStyle w:val="ListBullet"/>
        <w:spacing w:after="40"/>
      </w:pPr>
      <w:r>
        <w:rPr>
          <w:rFonts w:ascii="Times New Roman" w:hAnsi="Times New Roman"/>
          <w:b w:val="0"/>
          <w:i w:val="0"/>
          <w:sz w:val="22"/>
        </w:rPr>
        <w:t>Validate the TechDocs runtime and Docker permissions before the lab.</w:t>
      </w:r>
    </w:p>
    <w:p>
      <w:pPr>
        <w:pStyle w:val="ListBullet"/>
        <w:spacing w:after="40"/>
      </w:pPr>
      <w:r>
        <w:rPr>
          <w:rFonts w:ascii="Times New Roman" w:hAnsi="Times New Roman"/>
          <w:b w:val="0"/>
          <w:i w:val="0"/>
          <w:sz w:val="22"/>
        </w:rPr>
        <w:t>Configure a Backstage service template with TechDocs metadata.</w:t>
      </w:r>
    </w:p>
    <w:p>
      <w:pPr>
        <w:pStyle w:val="ListBullet"/>
        <w:spacing w:after="40"/>
      </w:pPr>
      <w:r>
        <w:rPr>
          <w:rFonts w:ascii="Times New Roman" w:hAnsi="Times New Roman"/>
          <w:b w:val="0"/>
          <w:i w:val="0"/>
          <w:sz w:val="22"/>
        </w:rPr>
        <w:t>Generate a multi-page documentation site with MkDocs navigation.</w:t>
      </w:r>
    </w:p>
    <w:p>
      <w:pPr>
        <w:pStyle w:val="ListBullet"/>
        <w:spacing w:after="40"/>
      </w:pPr>
      <w:r>
        <w:rPr>
          <w:rFonts w:ascii="Times New Roman" w:hAnsi="Times New Roman"/>
          <w:b w:val="0"/>
          <w:i w:val="0"/>
          <w:sz w:val="22"/>
        </w:rPr>
        <w:t>Document service overview, onboarding, architecture, endpoints, operations, and troubleshooting.</w:t>
      </w:r>
    </w:p>
    <w:p>
      <w:pPr>
        <w:pStyle w:val="ListBullet"/>
        <w:spacing w:after="40"/>
      </w:pPr>
      <w:r>
        <w:rPr>
          <w:rFonts w:ascii="Times New Roman" w:hAnsi="Times New Roman"/>
          <w:b w:val="0"/>
          <w:i w:val="0"/>
          <w:sz w:val="22"/>
        </w:rPr>
        <w:t>Generate and register a service through the Golden Path.</w:t>
      </w:r>
    </w:p>
    <w:p>
      <w:pPr>
        <w:pStyle w:val="ListBullet"/>
        <w:spacing w:after="40"/>
      </w:pPr>
      <w:r>
        <w:rPr>
          <w:rFonts w:ascii="Times New Roman" w:hAnsi="Times New Roman"/>
          <w:b w:val="0"/>
          <w:i w:val="0"/>
          <w:sz w:val="22"/>
        </w:rPr>
        <w:t>Understand the TechDocs Prepare → Generate → Publish workflow.</w:t>
      </w:r>
    </w:p>
    <w:p>
      <w:pPr>
        <w:pStyle w:val="ListBullet"/>
        <w:spacing w:after="40"/>
      </w:pPr>
      <w:r>
        <w:rPr>
          <w:rFonts w:ascii="Times New Roman" w:hAnsi="Times New Roman"/>
          <w:b w:val="0"/>
          <w:i w:val="0"/>
          <w:sz w:val="22"/>
        </w:rPr>
        <w:t>Diagnose common Docker socket and missing-index.md failures safely.</w:t>
      </w:r>
    </w:p>
    <w:p>
      <w:pPr>
        <w:pStyle w:val="Heading1"/>
        <w:keepNext/>
      </w:pPr>
      <w:r>
        <w:t>Why This Lab Matters</w:t>
      </w:r>
    </w:p>
    <w:p>
      <w:r>
        <w:rPr>
          <w:rFonts w:ascii="Times New Roman" w:hAnsi="Times New Roman"/>
          <w:b w:val="0"/>
          <w:i w:val="0"/>
          <w:sz w:val="23"/>
        </w:rPr>
        <w:t>Without a platform standard, every team tends to document services differently—or not at all. That creates inconsistent onboarding, missing operational knowledge, duplicated effort, and unclear ownership.</w:t>
      </w:r>
    </w:p>
    <w:p>
      <w:r>
        <w:rPr>
          <w:rFonts w:ascii="Times New Roman" w:hAnsi="Times New Roman"/>
          <w:b w:val="0"/>
          <w:i w:val="0"/>
          <w:sz w:val="23"/>
        </w:rPr>
        <w:t>Platform Engineering improves this by:</w:t>
      </w:r>
    </w:p>
    <w:p>
      <w:pPr>
        <w:pStyle w:val="ListBullet"/>
        <w:spacing w:after="40"/>
      </w:pPr>
      <w:r>
        <w:rPr>
          <w:rFonts w:ascii="Times New Roman" w:hAnsi="Times New Roman"/>
          <w:b w:val="0"/>
          <w:i w:val="0"/>
          <w:sz w:val="22"/>
        </w:rPr>
        <w:t>Embedding documentation into service templates.</w:t>
      </w:r>
    </w:p>
    <w:p>
      <w:pPr>
        <w:pStyle w:val="ListBullet"/>
        <w:spacing w:after="40"/>
      </w:pPr>
      <w:r>
        <w:rPr>
          <w:rFonts w:ascii="Times New Roman" w:hAnsi="Times New Roman"/>
          <w:b w:val="0"/>
          <w:i w:val="0"/>
          <w:sz w:val="22"/>
        </w:rPr>
        <w:t>Creating a predictable documentation structure.</w:t>
      </w:r>
    </w:p>
    <w:p>
      <w:pPr>
        <w:pStyle w:val="ListBullet"/>
        <w:spacing w:after="40"/>
      </w:pPr>
      <w:r>
        <w:rPr>
          <w:rFonts w:ascii="Times New Roman" w:hAnsi="Times New Roman"/>
          <w:b w:val="0"/>
          <w:i w:val="0"/>
          <w:sz w:val="22"/>
        </w:rPr>
        <w:t>Keeping documentation close to source code.</w:t>
      </w:r>
    </w:p>
    <w:p>
      <w:pPr>
        <w:pStyle w:val="ListBullet"/>
        <w:spacing w:after="40"/>
      </w:pPr>
      <w:r>
        <w:rPr>
          <w:rFonts w:ascii="Times New Roman" w:hAnsi="Times New Roman"/>
          <w:b w:val="0"/>
          <w:i w:val="0"/>
          <w:sz w:val="22"/>
        </w:rPr>
        <w:t>Making service documentation discoverable from the Backstage Catalog.</w:t>
      </w:r>
    </w:p>
    <w:p>
      <w:pPr>
        <w:pStyle w:val="ListBullet"/>
        <w:spacing w:after="40"/>
      </w:pPr>
      <w:r>
        <w:rPr>
          <w:rFonts w:ascii="Times New Roman" w:hAnsi="Times New Roman"/>
          <w:b w:val="0"/>
          <w:i w:val="0"/>
          <w:sz w:val="22"/>
        </w:rPr>
        <w:t>Providing operational and troubleshooting information by default.</w:t>
      </w:r>
    </w:p>
    <w:tbl>
      <w:tblPr>
        <w:tblW w:type="auto" w:w="0"/>
        <w:jc w:val="left"/>
        <w:tblLook w:firstColumn="1" w:firstRow="1" w:lastColumn="0" w:lastRow="0" w:noHBand="0" w:noVBand="1" w:val="04A0"/>
      </w:tblPr>
      <w:tblGrid>
        <w:gridCol w:w="9936"/>
      </w:tblGrid>
      <w:tr>
        <w:tc>
          <w:tcPr>
            <w:tcW w:type="dxa" w:w="9936"/>
            <w:shd w:fill="EAF2F8"/>
            <w:tcMar>
              <w:top w:w="80" w:type="dxa"/>
              <w:start w:w="100" w:type="dxa"/>
              <w:bottom w:w="80" w:type="dxa"/>
              <w:end w:w="100" w:type="dxa"/>
            </w:tcMar>
          </w:tcPr>
          <w:p>
            <w:r>
              <w:rPr>
                <w:rFonts w:ascii="Times New Roman" w:hAnsi="Times New Roman"/>
                <w:b/>
                <w:i w:val="0"/>
                <w:sz w:val="22"/>
              </w:rPr>
              <w:t xml:space="preserve">Platform Engineering principle: </w:t>
            </w:r>
            <w:r>
              <w:rPr>
                <w:rFonts w:ascii="Times New Roman" w:hAnsi="Times New Roman"/>
                <w:b w:val="0"/>
                <w:i w:val="0"/>
                <w:sz w:val="22"/>
              </w:rPr>
              <w:t>The platform should provide the documentation structure and publishing path; developers should maintain the service-specific knowledge inside that structure.</w:t>
            </w:r>
          </w:p>
        </w:tc>
      </w:tr>
    </w:tbl>
    <w:p>
      <w:pPr>
        <w:spacing w:after="20"/>
      </w:pPr>
    </w:p>
    <w:p>
      <w:pPr>
        <w:pStyle w:val="Heading1"/>
        <w:keepNext/>
      </w:pPr>
      <w:r>
        <w:t>Scenario</w:t>
      </w:r>
    </w:p>
    <w:p>
      <w:r>
        <w:rPr>
          <w:rFonts w:ascii="Times New Roman" w:hAnsi="Times New Roman"/>
          <w:b w:val="0"/>
          <w:i w:val="0"/>
          <w:sz w:val="23"/>
        </w:rPr>
        <w:t>At GlobalShop E-Commerce, developers can already generate repositories, provision infrastructure, receive CI/CD defaults, and enable observability. Documentation is the remaining inconsistent part of the developer experience.</w:t>
      </w:r>
    </w:p>
    <w:p>
      <w:r>
        <w:rPr>
          <w:rFonts w:ascii="Times New Roman" w:hAnsi="Times New Roman"/>
          <w:b w:val="0"/>
          <w:i w:val="0"/>
          <w:sz w:val="23"/>
        </w:rPr>
        <w:t>The platform team decides that every service created through Backstage must include a usable documentation site on day one—not only a blank index page.</w:t>
      </w:r>
    </w:p>
    <w:p>
      <w:pPr>
        <w:pStyle w:val="Heading1"/>
        <w:keepNext/>
      </w:pPr>
      <w:r>
        <w:t>What Participants Will Learn</w:t>
      </w:r>
    </w:p>
    <w:p>
      <w:pPr>
        <w:pStyle w:val="ListBullet"/>
        <w:spacing w:after="40"/>
      </w:pPr>
      <w:r>
        <w:rPr>
          <w:rFonts w:ascii="Times New Roman" w:hAnsi="Times New Roman"/>
          <w:b w:val="0"/>
          <w:i w:val="0"/>
          <w:sz w:val="22"/>
        </w:rPr>
        <w:t>TechDocs fundamentals and build flow.</w:t>
      </w:r>
    </w:p>
    <w:p>
      <w:pPr>
        <w:pStyle w:val="ListBullet"/>
        <w:spacing w:after="40"/>
      </w:pPr>
      <w:r>
        <w:rPr>
          <w:rFonts w:ascii="Times New Roman" w:hAnsi="Times New Roman"/>
          <w:b w:val="0"/>
          <w:i w:val="0"/>
          <w:sz w:val="22"/>
        </w:rPr>
        <w:t>The purpose of mkdocs.yml, docs/, and backstage.io/techdocs-ref.</w:t>
      </w:r>
    </w:p>
    <w:p>
      <w:pPr>
        <w:pStyle w:val="ListBullet"/>
        <w:spacing w:after="40"/>
      </w:pPr>
      <w:r>
        <w:rPr>
          <w:rFonts w:ascii="Times New Roman" w:hAnsi="Times New Roman"/>
          <w:b w:val="0"/>
          <w:i w:val="0"/>
          <w:sz w:val="22"/>
        </w:rPr>
        <w:t>How Golden Path templates generate documentation content.</w:t>
      </w:r>
    </w:p>
    <w:p>
      <w:pPr>
        <w:pStyle w:val="ListBullet"/>
        <w:spacing w:after="40"/>
      </w:pPr>
      <w:r>
        <w:rPr>
          <w:rFonts w:ascii="Times New Roman" w:hAnsi="Times New Roman"/>
          <w:b w:val="0"/>
          <w:i w:val="0"/>
          <w:sz w:val="22"/>
        </w:rPr>
        <w:t>How MkDocs navigation creates multiple TechDocs pages.</w:t>
      </w:r>
    </w:p>
    <w:p>
      <w:pPr>
        <w:pStyle w:val="ListBullet"/>
        <w:spacing w:after="40"/>
      </w:pPr>
      <w:r>
        <w:rPr>
          <w:rFonts w:ascii="Times New Roman" w:hAnsi="Times New Roman"/>
          <w:b w:val="0"/>
          <w:i w:val="0"/>
          <w:sz w:val="22"/>
        </w:rPr>
        <w:t>How to validate Docker access for the Backstage backend process.</w:t>
      </w:r>
    </w:p>
    <w:p>
      <w:pPr>
        <w:pStyle w:val="ListBullet"/>
        <w:spacing w:after="40"/>
      </w:pPr>
      <w:r>
        <w:rPr>
          <w:rFonts w:ascii="Times New Roman" w:hAnsi="Times New Roman"/>
          <w:b w:val="0"/>
          <w:i w:val="0"/>
          <w:sz w:val="22"/>
        </w:rPr>
        <w:t>How to troubleshoot generation and publishing failures.</w:t>
      </w:r>
    </w:p>
    <w:p>
      <w:r>
        <w:br w:type="page"/>
      </w:r>
    </w:p>
    <w:p>
      <w:pPr>
        <w:pStyle w:val="Heading1"/>
        <w:keepNext/>
      </w:pPr>
      <w:r>
        <w:t>Architecture</w:t>
      </w:r>
    </w:p>
    <w:tbl>
      <w:tblPr>
        <w:tblStyle w:val="TableGrid"/>
        <w:tblW w:type="auto" w:w="0"/>
        <w:jc w:val="center"/>
        <w:tblLook w:firstColumn="1" w:firstRow="1" w:lastColumn="0" w:lastRow="0" w:noHBand="0" w:noVBand="1" w:val="04A0"/>
      </w:tblPr>
      <w:tblGrid>
        <w:gridCol w:w="4968"/>
        <w:gridCol w:w="4968"/>
      </w:tblGrid>
      <w:tr>
        <w:trPr>
          <w:cantSplit/>
        </w:trPr>
        <w:tc>
          <w:tcPr>
            <w:tcW w:type="dxa" w:w="2880"/>
            <w:shd w:fill="D9EAF7"/>
            <w:vAlign w:val="center"/>
            <w:tcMar>
              <w:top w:w="80" w:type="dxa"/>
              <w:start w:w="100" w:type="dxa"/>
              <w:bottom w:w="80" w:type="dxa"/>
              <w:end w:w="100" w:type="dxa"/>
            </w:tcMar>
          </w:tcPr>
          <w:p>
            <w:r>
              <w:rPr>
                <w:rFonts w:ascii="Times New Roman" w:hAnsi="Times New Roman"/>
                <w:b/>
                <w:i w:val="0"/>
                <w:sz w:val="21"/>
              </w:rPr>
              <w:t>Component</w:t>
            </w:r>
          </w:p>
        </w:tc>
        <w:tc>
          <w:tcPr>
            <w:tcW w:type="dxa" w:w="6768"/>
            <w:shd w:fill="D9EAF7"/>
            <w:vAlign w:val="center"/>
            <w:tcMar>
              <w:top w:w="80" w:type="dxa"/>
              <w:start w:w="100" w:type="dxa"/>
              <w:bottom w:w="80" w:type="dxa"/>
              <w:end w:w="100" w:type="dxa"/>
            </w:tcMar>
          </w:tcPr>
          <w:p>
            <w:r>
              <w:rPr>
                <w:rFonts w:ascii="Times New Roman" w:hAnsi="Times New Roman"/>
                <w:b/>
                <w:i w:val="0"/>
                <w:sz w:val="21"/>
              </w:rPr>
              <w:t>Purpose</w:t>
            </w:r>
          </w:p>
        </w:tc>
      </w:tr>
      <w:tr>
        <w:trPr>
          <w:cantSplit/>
        </w:trPr>
        <w:tc>
          <w:tcPr>
            <w:tcW w:type="dxa" w:w="2880"/>
            <w:vAlign w:val="center"/>
            <w:tcMar>
              <w:top w:w="80" w:type="dxa"/>
              <w:start w:w="100" w:type="dxa"/>
              <w:bottom w:w="80" w:type="dxa"/>
              <w:end w:w="100" w:type="dxa"/>
            </w:tcMar>
          </w:tcPr>
          <w:p>
            <w:r>
              <w:rPr>
                <w:rFonts w:ascii="Times New Roman" w:hAnsi="Times New Roman"/>
                <w:b w:val="0"/>
                <w:i w:val="0"/>
                <w:sz w:val="21"/>
              </w:rPr>
              <w:t>Backstage</w:t>
            </w:r>
          </w:p>
        </w:tc>
        <w:tc>
          <w:tcPr>
            <w:tcW w:type="dxa" w:w="6768"/>
            <w:vAlign w:val="center"/>
            <w:tcMar>
              <w:top w:w="80" w:type="dxa"/>
              <w:start w:w="100" w:type="dxa"/>
              <w:bottom w:w="80" w:type="dxa"/>
              <w:end w:w="100" w:type="dxa"/>
            </w:tcMar>
          </w:tcPr>
          <w:p>
            <w:r>
              <w:rPr>
                <w:rFonts w:ascii="Times New Roman" w:hAnsi="Times New Roman"/>
                <w:b w:val="0"/>
                <w:i w:val="0"/>
                <w:sz w:val="21"/>
              </w:rPr>
              <w:t>Internal Developer Platform and service catalog.</w:t>
            </w:r>
          </w:p>
        </w:tc>
      </w:tr>
      <w:tr>
        <w:trPr>
          <w:cantSplit/>
        </w:trPr>
        <w:tc>
          <w:tcPr>
            <w:tcW w:type="dxa" w:w="2880"/>
            <w:vAlign w:val="center"/>
            <w:tcMar>
              <w:top w:w="80" w:type="dxa"/>
              <w:start w:w="100" w:type="dxa"/>
              <w:bottom w:w="80" w:type="dxa"/>
              <w:end w:w="100" w:type="dxa"/>
            </w:tcMar>
          </w:tcPr>
          <w:p>
            <w:r>
              <w:rPr>
                <w:rFonts w:ascii="Times New Roman" w:hAnsi="Times New Roman"/>
                <w:b w:val="0"/>
                <w:i w:val="0"/>
                <w:sz w:val="21"/>
              </w:rPr>
              <w:t>Software Template</w:t>
            </w:r>
          </w:p>
        </w:tc>
        <w:tc>
          <w:tcPr>
            <w:tcW w:type="dxa" w:w="6768"/>
            <w:vAlign w:val="center"/>
            <w:tcMar>
              <w:top w:w="80" w:type="dxa"/>
              <w:start w:w="100" w:type="dxa"/>
              <w:bottom w:w="80" w:type="dxa"/>
              <w:end w:w="100" w:type="dxa"/>
            </w:tcMar>
          </w:tcPr>
          <w:p>
            <w:r>
              <w:rPr>
                <w:rFonts w:ascii="Times New Roman" w:hAnsi="Times New Roman"/>
                <w:b w:val="0"/>
                <w:i w:val="0"/>
                <w:sz w:val="21"/>
              </w:rPr>
              <w:t>Golden Path that creates a standardized service repository.</w:t>
            </w:r>
          </w:p>
        </w:tc>
      </w:tr>
      <w:tr>
        <w:trPr>
          <w:cantSplit/>
        </w:trPr>
        <w:tc>
          <w:tcPr>
            <w:tcW w:type="dxa" w:w="2880"/>
            <w:vAlign w:val="center"/>
            <w:tcMar>
              <w:top w:w="80" w:type="dxa"/>
              <w:start w:w="100" w:type="dxa"/>
              <w:bottom w:w="80" w:type="dxa"/>
              <w:end w:w="100" w:type="dxa"/>
            </w:tcMar>
          </w:tcPr>
          <w:p>
            <w:r>
              <w:rPr>
                <w:rFonts w:ascii="Times New Roman" w:hAnsi="Times New Roman"/>
                <w:b w:val="0"/>
                <w:i w:val="0"/>
                <w:sz w:val="21"/>
              </w:rPr>
              <w:t>GitHub</w:t>
            </w:r>
          </w:p>
        </w:tc>
        <w:tc>
          <w:tcPr>
            <w:tcW w:type="dxa" w:w="6768"/>
            <w:vAlign w:val="center"/>
            <w:tcMar>
              <w:top w:w="80" w:type="dxa"/>
              <w:start w:w="100" w:type="dxa"/>
              <w:bottom w:w="80" w:type="dxa"/>
              <w:end w:w="100" w:type="dxa"/>
            </w:tcMar>
          </w:tcPr>
          <w:p>
            <w:r>
              <w:rPr>
                <w:rFonts w:ascii="Times New Roman" w:hAnsi="Times New Roman"/>
                <w:b w:val="0"/>
                <w:i w:val="0"/>
                <w:sz w:val="21"/>
              </w:rPr>
              <w:t>Stores service source code and documentation source.</w:t>
            </w:r>
          </w:p>
        </w:tc>
      </w:tr>
      <w:tr>
        <w:trPr>
          <w:cantSplit/>
        </w:trPr>
        <w:tc>
          <w:tcPr>
            <w:tcW w:type="dxa" w:w="2880"/>
            <w:vAlign w:val="center"/>
            <w:tcMar>
              <w:top w:w="80" w:type="dxa"/>
              <w:start w:w="100" w:type="dxa"/>
              <w:bottom w:w="80" w:type="dxa"/>
              <w:end w:w="100" w:type="dxa"/>
            </w:tcMar>
          </w:tcPr>
          <w:p>
            <w:r>
              <w:rPr>
                <w:rFonts w:ascii="Times New Roman" w:hAnsi="Times New Roman"/>
                <w:b w:val="0"/>
                <w:i w:val="0"/>
                <w:sz w:val="21"/>
              </w:rPr>
              <w:t>TechDocs Backend</w:t>
            </w:r>
          </w:p>
        </w:tc>
        <w:tc>
          <w:tcPr>
            <w:tcW w:type="dxa" w:w="6768"/>
            <w:vAlign w:val="center"/>
            <w:tcMar>
              <w:top w:w="80" w:type="dxa"/>
              <w:start w:w="100" w:type="dxa"/>
              <w:bottom w:w="80" w:type="dxa"/>
              <w:end w:w="100" w:type="dxa"/>
            </w:tcMar>
          </w:tcPr>
          <w:p>
            <w:r>
              <w:rPr>
                <w:rFonts w:ascii="Times New Roman" w:hAnsi="Times New Roman"/>
                <w:b w:val="0"/>
                <w:i w:val="0"/>
                <w:sz w:val="21"/>
              </w:rPr>
              <w:t>Prepares documentation source, generates the site, and publishes/serves it according to configuration.</w:t>
            </w:r>
          </w:p>
        </w:tc>
      </w:tr>
      <w:tr>
        <w:trPr>
          <w:cantSplit/>
        </w:trPr>
        <w:tc>
          <w:tcPr>
            <w:tcW w:type="dxa" w:w="2880"/>
            <w:vAlign w:val="center"/>
            <w:tcMar>
              <w:top w:w="80" w:type="dxa"/>
              <w:start w:w="100" w:type="dxa"/>
              <w:bottom w:w="80" w:type="dxa"/>
              <w:end w:w="100" w:type="dxa"/>
            </w:tcMar>
          </w:tcPr>
          <w:p>
            <w:r>
              <w:rPr>
                <w:rFonts w:ascii="Times New Roman" w:hAnsi="Times New Roman"/>
                <w:b w:val="0"/>
                <w:i w:val="0"/>
                <w:sz w:val="21"/>
              </w:rPr>
              <w:t>MkDocs</w:t>
            </w:r>
          </w:p>
        </w:tc>
        <w:tc>
          <w:tcPr>
            <w:tcW w:type="dxa" w:w="6768"/>
            <w:vAlign w:val="center"/>
            <w:tcMar>
              <w:top w:w="80" w:type="dxa"/>
              <w:start w:w="100" w:type="dxa"/>
              <w:bottom w:w="80" w:type="dxa"/>
              <w:end w:w="100" w:type="dxa"/>
            </w:tcMar>
          </w:tcPr>
          <w:p>
            <w:r>
              <w:rPr>
                <w:rFonts w:ascii="Times New Roman" w:hAnsi="Times New Roman"/>
                <w:b w:val="0"/>
                <w:i w:val="0"/>
                <w:sz w:val="21"/>
              </w:rPr>
              <w:t>Builds Markdown documentation into a navigable static site.</w:t>
            </w:r>
          </w:p>
        </w:tc>
      </w:tr>
      <w:tr>
        <w:trPr>
          <w:cantSplit/>
        </w:trPr>
        <w:tc>
          <w:tcPr>
            <w:tcW w:type="dxa" w:w="2880"/>
            <w:vAlign w:val="center"/>
            <w:tcMar>
              <w:top w:w="80" w:type="dxa"/>
              <w:start w:w="100" w:type="dxa"/>
              <w:bottom w:w="80" w:type="dxa"/>
              <w:end w:w="100" w:type="dxa"/>
            </w:tcMar>
          </w:tcPr>
          <w:p>
            <w:r>
              <w:rPr>
                <w:rFonts w:ascii="Times New Roman" w:hAnsi="Times New Roman"/>
                <w:b w:val="0"/>
                <w:i w:val="0"/>
                <w:sz w:val="21"/>
              </w:rPr>
              <w:t>Docker</w:t>
            </w:r>
          </w:p>
        </w:tc>
        <w:tc>
          <w:tcPr>
            <w:tcW w:type="dxa" w:w="6768"/>
            <w:vAlign w:val="center"/>
            <w:tcMar>
              <w:top w:w="80" w:type="dxa"/>
              <w:start w:w="100" w:type="dxa"/>
              <w:bottom w:w="80" w:type="dxa"/>
              <w:end w:w="100" w:type="dxa"/>
            </w:tcMar>
          </w:tcPr>
          <w:p>
            <w:r>
              <w:rPr>
                <w:rFonts w:ascii="Times New Roman" w:hAnsi="Times New Roman"/>
                <w:b w:val="0"/>
                <w:i w:val="0"/>
                <w:sz w:val="21"/>
              </w:rPr>
              <w:t>Runs the TechDocs generation container in this lab configuration.</w:t>
            </w:r>
          </w:p>
        </w:tc>
      </w:tr>
    </w:tbl>
    <w:p>
      <w:pPr>
        <w:spacing w:after="20"/>
      </w:pPr>
    </w:p>
    <w:p>
      <w:r>
        <w:rPr>
          <w:rFonts w:ascii="Times New Roman" w:hAnsi="Times New Roman"/>
          <w:b/>
          <w:i w:val="0"/>
          <w:sz w:val="23"/>
        </w:rPr>
        <w:t>Simplified flow:</w:t>
      </w:r>
    </w:p>
    <w:tbl>
      <w:tblPr>
        <w:tblW w:type="auto" w:w="0"/>
        <w:jc w:val="left"/>
        <w:tblLayout w:type="autofit"/>
        <w:tblLook w:firstColumn="1" w:firstRow="1" w:lastColumn="0" w:lastRow="0" w:noHBand="0" w:noVBand="1" w:val="04A0"/>
      </w:tblPr>
      <w:tblGrid>
        <w:gridCol w:w="9936"/>
      </w:tblGrid>
      <w:tr>
        <w:tc>
          <w:tcPr>
            <w:tcW w:type="dxa" w:w="9936"/>
            <w:shd w:fill="F3F5F7"/>
            <w:tcMar>
              <w:top w:w="80" w:type="dxa"/>
              <w:start w:w="100" w:type="dxa"/>
              <w:bottom w:w="80" w:type="dxa"/>
              <w:end w:w="100" w:type="dxa"/>
            </w:tcMar>
          </w:tcPr>
          <w:p>
            <w:pPr>
              <w:pStyle w:val="CodeBlock"/>
              <w:keepLines/>
            </w:pPr>
            <w:r/>
            <w:r>
              <w:rPr>
                <w:rFonts w:ascii="Courier New" w:hAnsi="Courier New"/>
                <w:b w:val="0"/>
                <w:i w:val="0"/>
                <w:sz w:val="18"/>
              </w:rPr>
              <w:t>Developer → Backstage Template → GitHub Repository</w:t>
            </w:r>
          </w:p>
          <w:p>
            <w:pPr>
              <w:pStyle w:val="CodeBlock"/>
              <w:keepLines/>
            </w:pPr>
            <w:r>
              <w:rPr>
                <w:rFonts w:ascii="Courier New" w:hAnsi="Courier New"/>
                <w:b w:val="0"/>
                <w:i w:val="0"/>
                <w:sz w:val="18"/>
              </w:rPr>
              <w:t xml:space="preserve">                         │</w:t>
            </w:r>
          </w:p>
          <w:p>
            <w:pPr>
              <w:pStyle w:val="CodeBlock"/>
              <w:keepLines/>
            </w:pPr>
            <w:r>
              <w:rPr>
                <w:rFonts w:ascii="Courier New" w:hAnsi="Courier New"/>
                <w:b w:val="0"/>
                <w:i w:val="0"/>
                <w:sz w:val="18"/>
              </w:rPr>
              <w:t xml:space="preserve">                         ├── catalog-info.yaml</w:t>
            </w:r>
          </w:p>
          <w:p>
            <w:pPr>
              <w:pStyle w:val="CodeBlock"/>
              <w:keepLines/>
            </w:pPr>
            <w:r>
              <w:rPr>
                <w:rFonts w:ascii="Courier New" w:hAnsi="Courier New"/>
                <w:b w:val="0"/>
                <w:i w:val="0"/>
                <w:sz w:val="18"/>
              </w:rPr>
              <w:t xml:space="preserve">                         ├── mkdocs.yml</w:t>
            </w:r>
          </w:p>
          <w:p>
            <w:pPr>
              <w:pStyle w:val="CodeBlock"/>
              <w:keepLines/>
            </w:pPr>
            <w:r>
              <w:rPr>
                <w:rFonts w:ascii="Courier New" w:hAnsi="Courier New"/>
                <w:b w:val="0"/>
                <w:i w:val="0"/>
                <w:sz w:val="18"/>
              </w:rPr>
              <w:t xml:space="preserve">                         └── docs/*.md</w:t>
            </w:r>
          </w:p>
          <w:p>
            <w:pPr>
              <w:pStyle w:val="CodeBlock"/>
              <w:keepLines/>
            </w:pPr>
            <w:r>
              <w:rPr>
                <w:rFonts w:ascii="Courier New" w:hAnsi="Courier New"/>
                <w:b w:val="0"/>
                <w:i w:val="0"/>
                <w:sz w:val="18"/>
              </w:rPr>
              <w:t xml:space="preserve">                                  │</w:t>
            </w:r>
          </w:p>
          <w:p>
            <w:pPr>
              <w:pStyle w:val="CodeBlock"/>
              <w:keepLines/>
            </w:pPr>
            <w:r>
              <w:rPr>
                <w:rFonts w:ascii="Courier New" w:hAnsi="Courier New"/>
                <w:b w:val="0"/>
                <w:i w:val="0"/>
                <w:sz w:val="18"/>
              </w:rPr>
              <w:t xml:space="preserve">                                  ▼</w:t>
            </w:r>
          </w:p>
          <w:p>
            <w:pPr>
              <w:pStyle w:val="CodeBlock"/>
              <w:keepLines/>
            </w:pPr>
            <w:r>
              <w:rPr>
                <w:rFonts w:ascii="Courier New" w:hAnsi="Courier New"/>
                <w:b w:val="0"/>
                <w:i w:val="0"/>
                <w:sz w:val="18"/>
              </w:rPr>
              <w:t xml:space="preserve">                       TechDocs Prepare</w:t>
            </w:r>
          </w:p>
          <w:p>
            <w:pPr>
              <w:pStyle w:val="CodeBlock"/>
              <w:keepLines/>
            </w:pPr>
            <w:r>
              <w:rPr>
                <w:rFonts w:ascii="Courier New" w:hAnsi="Courier New"/>
                <w:b w:val="0"/>
                <w:i w:val="0"/>
                <w:sz w:val="18"/>
              </w:rPr>
              <w:t xml:space="preserve">                                  │</w:t>
            </w:r>
          </w:p>
          <w:p>
            <w:pPr>
              <w:pStyle w:val="CodeBlock"/>
              <w:keepLines/>
            </w:pPr>
            <w:r>
              <w:rPr>
                <w:rFonts w:ascii="Courier New" w:hAnsi="Courier New"/>
                <w:b w:val="0"/>
                <w:i w:val="0"/>
                <w:sz w:val="18"/>
              </w:rPr>
              <w:t xml:space="preserve">                                  ▼</w:t>
            </w:r>
          </w:p>
          <w:p>
            <w:pPr>
              <w:pStyle w:val="CodeBlock"/>
              <w:keepLines/>
            </w:pPr>
            <w:r>
              <w:rPr>
                <w:rFonts w:ascii="Courier New" w:hAnsi="Courier New"/>
                <w:b w:val="0"/>
                <w:i w:val="0"/>
                <w:sz w:val="18"/>
              </w:rPr>
              <w:t xml:space="preserve">                  TechDocs Generate (Docker + MkDocs)</w:t>
            </w:r>
          </w:p>
          <w:p>
            <w:pPr>
              <w:pStyle w:val="CodeBlock"/>
              <w:keepLines/>
            </w:pPr>
            <w:r>
              <w:rPr>
                <w:rFonts w:ascii="Courier New" w:hAnsi="Courier New"/>
                <w:b w:val="0"/>
                <w:i w:val="0"/>
                <w:sz w:val="18"/>
              </w:rPr>
              <w:t xml:space="preserve">                                  │</w:t>
            </w:r>
          </w:p>
          <w:p>
            <w:pPr>
              <w:pStyle w:val="CodeBlock"/>
              <w:keepLines/>
            </w:pPr>
            <w:r>
              <w:rPr>
                <w:rFonts w:ascii="Courier New" w:hAnsi="Courier New"/>
                <w:b w:val="0"/>
                <w:i w:val="0"/>
                <w:sz w:val="18"/>
              </w:rPr>
              <w:t xml:space="preserve">                                  ▼</w:t>
            </w:r>
          </w:p>
          <w:p>
            <w:pPr>
              <w:pStyle w:val="CodeBlock"/>
              <w:keepLines/>
            </w:pPr>
            <w:r>
              <w:rPr>
                <w:rFonts w:ascii="Courier New" w:hAnsi="Courier New"/>
                <w:b w:val="0"/>
                <w:i w:val="0"/>
                <w:sz w:val="18"/>
              </w:rPr>
              <w:t xml:space="preserve">                       TechDocs Publish</w:t>
            </w:r>
          </w:p>
          <w:p>
            <w:pPr>
              <w:pStyle w:val="CodeBlock"/>
              <w:keepLines/>
            </w:pPr>
            <w:r>
              <w:rPr>
                <w:rFonts w:ascii="Courier New" w:hAnsi="Courier New"/>
                <w:b w:val="0"/>
                <w:i w:val="0"/>
                <w:sz w:val="18"/>
              </w:rPr>
              <w:t xml:space="preserve">                                  │</w:t>
            </w:r>
          </w:p>
          <w:p>
            <w:pPr>
              <w:pStyle w:val="CodeBlock"/>
              <w:keepLines/>
            </w:pPr>
            <w:r>
              <w:rPr>
                <w:rFonts w:ascii="Courier New" w:hAnsi="Courier New"/>
                <w:b w:val="0"/>
                <w:i w:val="0"/>
                <w:sz w:val="18"/>
              </w:rPr>
              <w:t xml:space="preserve">                                  ▼</w:t>
            </w:r>
          </w:p>
          <w:p>
            <w:pPr>
              <w:pStyle w:val="CodeBlock"/>
              <w:keepLines/>
            </w:pPr>
            <w:r>
              <w:rPr>
                <w:rFonts w:ascii="Courier New" w:hAnsi="Courier New"/>
                <w:b w:val="0"/>
                <w:i w:val="0"/>
                <w:sz w:val="18"/>
              </w:rPr>
              <w:t xml:space="preserve">                    Backstage TechDocs UI</w:t>
            </w:r>
          </w:p>
        </w:tc>
      </w:tr>
    </w:tbl>
    <w:p>
      <w:pPr>
        <w:spacing w:after="20"/>
      </w:pPr>
    </w:p>
    <w:p>
      <w:pPr>
        <w:pStyle w:val="Heading2"/>
        <w:keepNext/>
      </w:pPr>
      <w:r>
        <w:t>TechDocs Build Stages</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shd w:fill="D9EAF7"/>
            <w:tcMar>
              <w:top w:w="80" w:type="dxa"/>
              <w:start w:w="100" w:type="dxa"/>
              <w:bottom w:w="80" w:type="dxa"/>
              <w:end w:w="100" w:type="dxa"/>
            </w:tcMar>
          </w:tcPr>
          <w:p>
            <w:r>
              <w:rPr>
                <w:rFonts w:ascii="Times New Roman" w:hAnsi="Times New Roman"/>
                <w:b/>
                <w:i w:val="0"/>
                <w:sz w:val="19"/>
              </w:rPr>
              <w:t>Stage</w:t>
            </w:r>
          </w:p>
        </w:tc>
        <w:tc>
          <w:tcPr>
            <w:tcW w:type="dxa" w:w="3312"/>
            <w:shd w:fill="D9EAF7"/>
            <w:tcMar>
              <w:top w:w="80" w:type="dxa"/>
              <w:start w:w="100" w:type="dxa"/>
              <w:bottom w:w="80" w:type="dxa"/>
              <w:end w:w="100" w:type="dxa"/>
            </w:tcMar>
          </w:tcPr>
          <w:p>
            <w:r>
              <w:rPr>
                <w:rFonts w:ascii="Times New Roman" w:hAnsi="Times New Roman"/>
                <w:b/>
                <w:i w:val="0"/>
                <w:sz w:val="19"/>
              </w:rPr>
              <w:t>What Happens</w:t>
            </w:r>
          </w:p>
        </w:tc>
        <w:tc>
          <w:tcPr>
            <w:tcW w:type="dxa" w:w="3312"/>
            <w:shd w:fill="D9EAF7"/>
            <w:tcMar>
              <w:top w:w="80" w:type="dxa"/>
              <w:start w:w="100" w:type="dxa"/>
              <w:bottom w:w="80" w:type="dxa"/>
              <w:end w:w="100" w:type="dxa"/>
            </w:tcMar>
          </w:tcPr>
          <w:p>
            <w:r>
              <w:rPr>
                <w:rFonts w:ascii="Times New Roman" w:hAnsi="Times New Roman"/>
                <w:b/>
                <w:i w:val="0"/>
                <w:sz w:val="19"/>
              </w:rPr>
              <w:t>Typical Failure</w:t>
            </w:r>
          </w:p>
        </w:tc>
      </w:tr>
      <w:tr>
        <w:trPr>
          <w:cantSplit/>
        </w:trPr>
        <w:tc>
          <w:tcPr>
            <w:tcW w:type="dxa" w:w="3312"/>
            <w:tcMar>
              <w:top w:w="80" w:type="dxa"/>
              <w:start w:w="100" w:type="dxa"/>
              <w:bottom w:w="80" w:type="dxa"/>
              <w:end w:w="100" w:type="dxa"/>
            </w:tcMar>
          </w:tcPr>
          <w:p>
            <w:r>
              <w:rPr>
                <w:rFonts w:ascii="Times New Roman" w:hAnsi="Times New Roman"/>
                <w:b w:val="0"/>
                <w:i w:val="0"/>
                <w:sz w:val="19"/>
              </w:rPr>
              <w:t>1. Prepare</w:t>
            </w:r>
          </w:p>
        </w:tc>
        <w:tc>
          <w:tcPr>
            <w:tcW w:type="dxa" w:w="3312"/>
            <w:tcMar>
              <w:top w:w="80" w:type="dxa"/>
              <w:start w:w="100" w:type="dxa"/>
              <w:bottom w:w="80" w:type="dxa"/>
              <w:end w:w="100" w:type="dxa"/>
            </w:tcMar>
          </w:tcPr>
          <w:p>
            <w:r>
              <w:rPr>
                <w:rFonts w:ascii="Times New Roman" w:hAnsi="Times New Roman"/>
                <w:b w:val="0"/>
                <w:i w:val="0"/>
                <w:sz w:val="19"/>
              </w:rPr>
              <w:t>Backstage retrieves the documentation source referenced by the catalog entity.</w:t>
            </w:r>
          </w:p>
        </w:tc>
        <w:tc>
          <w:tcPr>
            <w:tcW w:type="dxa" w:w="3312"/>
            <w:tcMar>
              <w:top w:w="80" w:type="dxa"/>
              <w:start w:w="100" w:type="dxa"/>
              <w:bottom w:w="80" w:type="dxa"/>
              <w:end w:w="100" w:type="dxa"/>
            </w:tcMar>
          </w:tcPr>
          <w:p>
            <w:r>
              <w:rPr>
                <w:rFonts w:ascii="Times New Roman" w:hAnsi="Times New Roman"/>
                <w:b w:val="0"/>
                <w:i w:val="0"/>
                <w:sz w:val="19"/>
              </w:rPr>
              <w:t>Wrong repository/path or unreadable source.</w:t>
            </w:r>
          </w:p>
        </w:tc>
      </w:tr>
      <w:tr>
        <w:trPr>
          <w:cantSplit/>
        </w:trPr>
        <w:tc>
          <w:tcPr>
            <w:tcW w:type="dxa" w:w="3312"/>
            <w:tcMar>
              <w:top w:w="80" w:type="dxa"/>
              <w:start w:w="100" w:type="dxa"/>
              <w:bottom w:w="80" w:type="dxa"/>
              <w:end w:w="100" w:type="dxa"/>
            </w:tcMar>
          </w:tcPr>
          <w:p>
            <w:r>
              <w:rPr>
                <w:rFonts w:ascii="Times New Roman" w:hAnsi="Times New Roman"/>
                <w:b w:val="0"/>
                <w:i w:val="0"/>
                <w:sz w:val="19"/>
              </w:rPr>
              <w:t>2. Generate</w:t>
            </w:r>
          </w:p>
        </w:tc>
        <w:tc>
          <w:tcPr>
            <w:tcW w:type="dxa" w:w="3312"/>
            <w:tcMar>
              <w:top w:w="80" w:type="dxa"/>
              <w:start w:w="100" w:type="dxa"/>
              <w:bottom w:w="80" w:type="dxa"/>
              <w:end w:w="100" w:type="dxa"/>
            </w:tcMar>
          </w:tcPr>
          <w:p>
            <w:r>
              <w:rPr>
                <w:rFonts w:ascii="Times New Roman" w:hAnsi="Times New Roman"/>
                <w:b w:val="0"/>
                <w:i w:val="0"/>
                <w:sz w:val="19"/>
              </w:rPr>
              <w:t>MkDocs builds the documentation site. In this lab, the generator runs in Docker.</w:t>
            </w:r>
          </w:p>
        </w:tc>
        <w:tc>
          <w:tcPr>
            <w:tcW w:type="dxa" w:w="3312"/>
            <w:tcMar>
              <w:top w:w="80" w:type="dxa"/>
              <w:start w:w="100" w:type="dxa"/>
              <w:bottom w:w="80" w:type="dxa"/>
              <w:end w:w="100" w:type="dxa"/>
            </w:tcMar>
          </w:tcPr>
          <w:p>
            <w:r>
              <w:rPr>
                <w:rFonts w:ascii="Times New Roman" w:hAnsi="Times New Roman"/>
                <w:b w:val="0"/>
                <w:i w:val="0"/>
                <w:sz w:val="19"/>
              </w:rPr>
              <w:t>Docker unavailable/permission denied, invalid mkdocs.yml, missing docs files.</w:t>
            </w:r>
          </w:p>
        </w:tc>
      </w:tr>
      <w:tr>
        <w:trPr>
          <w:cantSplit/>
        </w:trPr>
        <w:tc>
          <w:tcPr>
            <w:tcW w:type="dxa" w:w="3312"/>
            <w:tcMar>
              <w:top w:w="80" w:type="dxa"/>
              <w:start w:w="100" w:type="dxa"/>
              <w:bottom w:w="80" w:type="dxa"/>
              <w:end w:w="100" w:type="dxa"/>
            </w:tcMar>
          </w:tcPr>
          <w:p>
            <w:r>
              <w:rPr>
                <w:rFonts w:ascii="Times New Roman" w:hAnsi="Times New Roman"/>
                <w:b w:val="0"/>
                <w:i w:val="0"/>
                <w:sz w:val="19"/>
              </w:rPr>
              <w:t>3. Publish</w:t>
            </w:r>
          </w:p>
        </w:tc>
        <w:tc>
          <w:tcPr>
            <w:tcW w:type="dxa" w:w="3312"/>
            <w:tcMar>
              <w:top w:w="80" w:type="dxa"/>
              <w:start w:w="100" w:type="dxa"/>
              <w:bottom w:w="80" w:type="dxa"/>
              <w:end w:w="100" w:type="dxa"/>
            </w:tcMar>
          </w:tcPr>
          <w:p>
            <w:r>
              <w:rPr>
                <w:rFonts w:ascii="Times New Roman" w:hAnsi="Times New Roman"/>
                <w:b w:val="0"/>
                <w:i w:val="0"/>
                <w:sz w:val="19"/>
              </w:rPr>
              <w:t>Generated static documentation is stored by the configured publisher.</w:t>
            </w:r>
          </w:p>
        </w:tc>
        <w:tc>
          <w:tcPr>
            <w:tcW w:type="dxa" w:w="3312"/>
            <w:tcMar>
              <w:top w:w="80" w:type="dxa"/>
              <w:start w:w="100" w:type="dxa"/>
              <w:bottom w:w="80" w:type="dxa"/>
              <w:end w:w="100" w:type="dxa"/>
            </w:tcMar>
          </w:tcPr>
          <w:p>
            <w:r>
              <w:rPr>
                <w:rFonts w:ascii="Times New Roman" w:hAnsi="Times New Roman"/>
                <w:b w:val="0"/>
                <w:i w:val="0"/>
                <w:sz w:val="19"/>
              </w:rPr>
              <w:t>Storage/publisher configuration or permissions.</w:t>
            </w:r>
          </w:p>
        </w:tc>
      </w:tr>
    </w:tbl>
    <w:p>
      <w:pPr>
        <w:spacing w:after="20"/>
      </w:pPr>
    </w:p>
    <w:p>
      <w:pPr>
        <w:pStyle w:val="Heading1"/>
        <w:keepNext/>
      </w:pPr>
      <w:r>
        <w:t>Prerequisites</w:t>
      </w:r>
    </w:p>
    <w:p>
      <w:r>
        <w:rPr>
          <w:rFonts w:ascii="Times New Roman" w:hAnsi="Times New Roman"/>
          <w:b w:val="0"/>
          <w:i w:val="0"/>
          <w:sz w:val="23"/>
        </w:rPr>
        <w:t>Participants should have completed Labs 1–8 and have the same Backstage environment used in the previous labs.</w:t>
      </w:r>
    </w:p>
    <w:p>
      <w:pPr>
        <w:pStyle w:val="ListBullet"/>
        <w:spacing w:after="40"/>
      </w:pPr>
      <w:r>
        <w:rPr>
          <w:rFonts w:ascii="Times New Roman" w:hAnsi="Times New Roman"/>
          <w:b w:val="0"/>
          <w:i w:val="0"/>
          <w:sz w:val="22"/>
        </w:rPr>
        <w:t>Ubuntu EC2 host or equivalent Linux VM.</w:t>
      </w:r>
    </w:p>
    <w:p>
      <w:pPr>
        <w:pStyle w:val="ListBullet"/>
        <w:spacing w:after="40"/>
      </w:pPr>
      <w:r>
        <w:rPr>
          <w:rFonts w:ascii="Times New Roman" w:hAnsi="Times New Roman"/>
          <w:b w:val="0"/>
          <w:i w:val="0"/>
          <w:sz w:val="22"/>
        </w:rPr>
        <w:t>Backstage project available at ~/raman-idp (adjust if your project directory differs).</w:t>
      </w:r>
    </w:p>
    <w:p>
      <w:pPr>
        <w:pStyle w:val="ListBullet"/>
        <w:spacing w:after="40"/>
      </w:pPr>
      <w:r>
        <w:rPr>
          <w:rFonts w:ascii="Times New Roman" w:hAnsi="Times New Roman"/>
          <w:b w:val="0"/>
          <w:i w:val="0"/>
          <w:sz w:val="22"/>
        </w:rPr>
        <w:t>Backstage starts successfully with yarn start.</w:t>
      </w:r>
    </w:p>
    <w:p>
      <w:pPr>
        <w:pStyle w:val="ListBullet"/>
        <w:spacing w:after="40"/>
      </w:pPr>
      <w:r>
        <w:rPr>
          <w:rFonts w:ascii="Times New Roman" w:hAnsi="Times New Roman"/>
          <w:b w:val="0"/>
          <w:i w:val="0"/>
          <w:sz w:val="22"/>
        </w:rPr>
        <w:t>Docker Engine installed and running.</w:t>
      </w:r>
    </w:p>
    <w:p>
      <w:pPr>
        <w:pStyle w:val="ListBullet"/>
        <w:spacing w:after="40"/>
      </w:pPr>
      <w:r>
        <w:rPr>
          <w:rFonts w:ascii="Times New Roman" w:hAnsi="Times New Roman"/>
          <w:b w:val="0"/>
          <w:i w:val="0"/>
          <w:sz w:val="22"/>
        </w:rPr>
        <w:t>GitHub integration and Software Templates already working.</w:t>
      </w:r>
    </w:p>
    <w:p>
      <w:pPr>
        <w:pStyle w:val="ListBullet"/>
        <w:spacing w:after="40"/>
      </w:pPr>
      <w:r>
        <w:rPr>
          <w:rFonts w:ascii="Times New Roman" w:hAnsi="Times New Roman"/>
          <w:b w:val="0"/>
          <w:i w:val="0"/>
          <w:sz w:val="22"/>
        </w:rPr>
        <w:t>The standardized service template from the previous labs is available under examples/standardized-template-2/.</w:t>
      </w:r>
    </w:p>
    <w:p>
      <w:pPr>
        <w:pStyle w:val="Heading1"/>
        <w:keepNext/>
      </w:pPr>
      <w:r>
        <w:t>Pre-Lab Validation – Fix Docker Access Before Starting Backstage</w:t>
      </w:r>
    </w:p>
    <w:tbl>
      <w:tblPr>
        <w:tblW w:type="auto" w:w="0"/>
        <w:jc w:val="left"/>
        <w:tblLook w:firstColumn="1" w:firstRow="1" w:lastColumn="0" w:lastRow="0" w:noHBand="0" w:noVBand="1" w:val="04A0"/>
      </w:tblPr>
      <w:tblGrid>
        <w:gridCol w:w="9936"/>
      </w:tblGrid>
      <w:tr>
        <w:tc>
          <w:tcPr>
            <w:tcW w:type="dxa" w:w="9936"/>
            <w:shd w:fill="FFF2CC"/>
            <w:tcMar>
              <w:top w:w="80" w:type="dxa"/>
              <w:start w:w="100" w:type="dxa"/>
              <w:bottom w:w="80" w:type="dxa"/>
              <w:end w:w="100" w:type="dxa"/>
            </w:tcMar>
          </w:tcPr>
          <w:p>
            <w:r>
              <w:rPr>
                <w:rFonts w:ascii="Times New Roman" w:hAnsi="Times New Roman"/>
                <w:b/>
                <w:i w:val="0"/>
                <w:sz w:val="22"/>
              </w:rPr>
              <w:t xml:space="preserve">Important: </w:t>
            </w:r>
            <w:r>
              <w:rPr>
                <w:rFonts w:ascii="Times New Roman" w:hAnsi="Times New Roman"/>
                <w:b w:val="0"/>
                <w:i w:val="0"/>
                <w:sz w:val="22"/>
              </w:rPr>
              <w:t>This is the corrected setup that prevents the TechDocs error “connect EACCES /var/run/docker.sock”. Docker access must be available to the same OS user that starts Backstage, and Backstage must be restarted after group membership changes.</w:t>
            </w:r>
          </w:p>
        </w:tc>
      </w:tr>
    </w:tbl>
    <w:p>
      <w:pPr>
        <w:spacing w:after="20"/>
      </w:pPr>
    </w:p>
    <w:p>
      <w:r>
        <w:rPr>
          <w:rFonts w:ascii="Times New Roman" w:hAnsi="Times New Roman"/>
          <w:b w:val="0"/>
          <w:i w:val="0"/>
          <w:sz w:val="23"/>
        </w:rPr>
        <w:t>1. Confirm the current user:</w:t>
      </w:r>
    </w:p>
    <w:tbl>
      <w:tblPr>
        <w:tblW w:type="auto" w:w="0"/>
        <w:jc w:val="left"/>
        <w:tblLayout w:type="autofit"/>
        <w:tblLook w:firstColumn="1" w:firstRow="1" w:lastColumn="0" w:lastRow="0" w:noHBand="0" w:noVBand="1" w:val="04A0"/>
      </w:tblPr>
      <w:tblGrid>
        <w:gridCol w:w="9936"/>
      </w:tblGrid>
      <w:tr>
        <w:tc>
          <w:tcPr>
            <w:tcW w:type="dxa" w:w="9936"/>
            <w:shd w:fill="F3F5F7"/>
            <w:tcMar>
              <w:top w:w="80" w:type="dxa"/>
              <w:start w:w="100" w:type="dxa"/>
              <w:bottom w:w="80" w:type="dxa"/>
              <w:end w:w="100" w:type="dxa"/>
            </w:tcMar>
          </w:tcPr>
          <w:p>
            <w:pPr>
              <w:pStyle w:val="CodeBlock"/>
              <w:keepLines/>
            </w:pPr>
            <w:r/>
            <w:r>
              <w:rPr>
                <w:rFonts w:ascii="Courier New" w:hAnsi="Courier New"/>
                <w:b w:val="0"/>
                <w:i w:val="0"/>
                <w:sz w:val="18"/>
              </w:rPr>
              <w:t>whoami</w:t>
            </w:r>
          </w:p>
        </w:tc>
      </w:tr>
    </w:tbl>
    <w:p>
      <w:pPr>
        <w:spacing w:after="20"/>
      </w:pPr>
    </w:p>
    <w:p>
      <w:r>
        <w:rPr>
          <w:rFonts w:ascii="Times New Roman" w:hAnsi="Times New Roman"/>
          <w:b w:val="0"/>
          <w:i w:val="0"/>
          <w:sz w:val="23"/>
        </w:rPr>
        <w:t>Expected:</w:t>
      </w:r>
    </w:p>
    <w:tbl>
      <w:tblPr>
        <w:tblW w:type="auto" w:w="0"/>
        <w:jc w:val="left"/>
        <w:tblLayout w:type="autofit"/>
        <w:tblLook w:firstColumn="1" w:firstRow="1" w:lastColumn="0" w:lastRow="0" w:noHBand="0" w:noVBand="1" w:val="04A0"/>
      </w:tblPr>
      <w:tblGrid>
        <w:gridCol w:w="9936"/>
      </w:tblGrid>
      <w:tr>
        <w:tc>
          <w:tcPr>
            <w:tcW w:type="dxa" w:w="9936"/>
            <w:shd w:fill="F3F5F7"/>
            <w:tcMar>
              <w:top w:w="80" w:type="dxa"/>
              <w:start w:w="100" w:type="dxa"/>
              <w:bottom w:w="80" w:type="dxa"/>
              <w:end w:w="100" w:type="dxa"/>
            </w:tcMar>
          </w:tcPr>
          <w:p>
            <w:pPr>
              <w:pStyle w:val="CodeBlock"/>
              <w:keepLines/>
            </w:pPr>
            <w:r/>
            <w:r>
              <w:rPr>
                <w:rFonts w:ascii="Courier New" w:hAnsi="Courier New"/>
                <w:b w:val="0"/>
                <w:i w:val="0"/>
                <w:sz w:val="18"/>
              </w:rPr>
              <w:t>ubuntu</w:t>
            </w:r>
          </w:p>
        </w:tc>
      </w:tr>
    </w:tbl>
    <w:p>
      <w:pPr>
        <w:spacing w:after="20"/>
      </w:pPr>
    </w:p>
    <w:p>
      <w:r>
        <w:rPr>
          <w:rFonts w:ascii="Times New Roman" w:hAnsi="Times New Roman"/>
          <w:b w:val="0"/>
          <w:i w:val="0"/>
          <w:sz w:val="23"/>
        </w:rPr>
        <w:t>2. Confirm the Docker group exists and add the current user if needed:</w:t>
      </w:r>
    </w:p>
    <w:tbl>
      <w:tblPr>
        <w:tblW w:type="auto" w:w="0"/>
        <w:jc w:val="left"/>
        <w:tblLayout w:type="autofit"/>
        <w:tblLook w:firstColumn="1" w:firstRow="1" w:lastColumn="0" w:lastRow="0" w:noHBand="0" w:noVBand="1" w:val="04A0"/>
      </w:tblPr>
      <w:tblGrid>
        <w:gridCol w:w="9936"/>
      </w:tblGrid>
      <w:tr>
        <w:tc>
          <w:tcPr>
            <w:tcW w:type="dxa" w:w="9936"/>
            <w:shd w:fill="F3F5F7"/>
            <w:tcMar>
              <w:top w:w="80" w:type="dxa"/>
              <w:start w:w="100" w:type="dxa"/>
              <w:bottom w:w="80" w:type="dxa"/>
              <w:end w:w="100" w:type="dxa"/>
            </w:tcMar>
          </w:tcPr>
          <w:p>
            <w:pPr>
              <w:pStyle w:val="CodeBlock"/>
              <w:keepLines/>
            </w:pPr>
            <w:r/>
            <w:r>
              <w:rPr>
                <w:rFonts w:ascii="Courier New" w:hAnsi="Courier New"/>
                <w:b w:val="0"/>
                <w:i w:val="0"/>
                <w:sz w:val="18"/>
              </w:rPr>
              <w:t>getent group docker || sudo groupadd docker</w:t>
            </w:r>
          </w:p>
          <w:p>
            <w:pPr>
              <w:pStyle w:val="CodeBlock"/>
              <w:keepLines/>
            </w:pPr>
            <w:r>
              <w:rPr>
                <w:rFonts w:ascii="Courier New" w:hAnsi="Courier New"/>
                <w:b w:val="0"/>
                <w:i w:val="0"/>
                <w:sz w:val="18"/>
              </w:rPr>
              <w:t>sudo usermod -aG docker $USER</w:t>
            </w:r>
          </w:p>
        </w:tc>
      </w:tr>
    </w:tbl>
    <w:p>
      <w:pPr>
        <w:spacing w:after="20"/>
      </w:pPr>
    </w:p>
    <w:p>
      <w:r>
        <w:rPr>
          <w:rFonts w:ascii="Times New Roman" w:hAnsi="Times New Roman"/>
          <w:b w:val="0"/>
          <w:i w:val="0"/>
          <w:sz w:val="23"/>
        </w:rPr>
        <w:t>3. If you just added the user to the docker group, completely log out and reconnect. This is required for the new group membership to be inherited by new processes:</w:t>
      </w:r>
    </w:p>
    <w:tbl>
      <w:tblPr>
        <w:tblW w:type="auto" w:w="0"/>
        <w:jc w:val="left"/>
        <w:tblLayout w:type="autofit"/>
        <w:tblLook w:firstColumn="1" w:firstRow="1" w:lastColumn="0" w:lastRow="0" w:noHBand="0" w:noVBand="1" w:val="04A0"/>
      </w:tblPr>
      <w:tblGrid>
        <w:gridCol w:w="9936"/>
      </w:tblGrid>
      <w:tr>
        <w:tc>
          <w:tcPr>
            <w:tcW w:type="dxa" w:w="9936"/>
            <w:shd w:fill="F3F5F7"/>
            <w:tcMar>
              <w:top w:w="80" w:type="dxa"/>
              <w:start w:w="100" w:type="dxa"/>
              <w:bottom w:w="80" w:type="dxa"/>
              <w:end w:w="100" w:type="dxa"/>
            </w:tcMar>
          </w:tcPr>
          <w:p>
            <w:pPr>
              <w:pStyle w:val="CodeBlock"/>
              <w:keepLines/>
            </w:pPr>
            <w:r/>
            <w:r>
              <w:rPr>
                <w:rFonts w:ascii="Courier New" w:hAnsi="Courier New"/>
                <w:b w:val="0"/>
                <w:i w:val="0"/>
                <w:sz w:val="18"/>
              </w:rPr>
              <w:t>exit</w:t>
            </w:r>
          </w:p>
          <w:p>
            <w:pPr>
              <w:pStyle w:val="CodeBlock"/>
              <w:keepLines/>
            </w:pPr>
            <w:r>
              <w:rPr>
                <w:rFonts w:ascii="Courier New" w:hAnsi="Courier New"/>
                <w:b w:val="0"/>
                <w:i w:val="0"/>
                <w:sz w:val="18"/>
              </w:rPr>
              <w:t># Reconnect to the EC2 instance, then continue.</w:t>
            </w:r>
          </w:p>
        </w:tc>
      </w:tr>
    </w:tbl>
    <w:p>
      <w:pPr>
        <w:spacing w:after="20"/>
      </w:pPr>
    </w:p>
    <w:p>
      <w:r>
        <w:rPr>
          <w:rFonts w:ascii="Times New Roman" w:hAnsi="Times New Roman"/>
          <w:b w:val="0"/>
          <w:i w:val="0"/>
          <w:sz w:val="23"/>
        </w:rPr>
        <w:t>4. Verify the new session contains the docker group and Docker works without sudo:</w:t>
      </w:r>
    </w:p>
    <w:tbl>
      <w:tblPr>
        <w:tblW w:type="auto" w:w="0"/>
        <w:jc w:val="left"/>
        <w:tblLayout w:type="autofit"/>
        <w:tblLook w:firstColumn="1" w:firstRow="1" w:lastColumn="0" w:lastRow="0" w:noHBand="0" w:noVBand="1" w:val="04A0"/>
      </w:tblPr>
      <w:tblGrid>
        <w:gridCol w:w="9936"/>
      </w:tblGrid>
      <w:tr>
        <w:tc>
          <w:tcPr>
            <w:tcW w:type="dxa" w:w="9936"/>
            <w:shd w:fill="F3F5F7"/>
            <w:tcMar>
              <w:top w:w="80" w:type="dxa"/>
              <w:start w:w="100" w:type="dxa"/>
              <w:bottom w:w="80" w:type="dxa"/>
              <w:end w:w="100" w:type="dxa"/>
            </w:tcMar>
          </w:tcPr>
          <w:p>
            <w:pPr>
              <w:pStyle w:val="CodeBlock"/>
              <w:keepLines/>
            </w:pPr>
            <w:r/>
            <w:r>
              <w:rPr>
                <w:rFonts w:ascii="Courier New" w:hAnsi="Courier New"/>
                <w:b w:val="0"/>
                <w:i w:val="0"/>
                <w:sz w:val="18"/>
              </w:rPr>
              <w:t>id</w:t>
            </w:r>
          </w:p>
          <w:p>
            <w:pPr>
              <w:pStyle w:val="CodeBlock"/>
              <w:keepLines/>
            </w:pPr>
            <w:r>
              <w:rPr>
                <w:rFonts w:ascii="Courier New" w:hAnsi="Courier New"/>
                <w:b w:val="0"/>
                <w:i w:val="0"/>
                <w:sz w:val="18"/>
              </w:rPr>
              <w:t>docker ps</w:t>
            </w:r>
          </w:p>
        </w:tc>
      </w:tr>
    </w:tbl>
    <w:p>
      <w:pPr>
        <w:spacing w:after="20"/>
      </w:pPr>
    </w:p>
    <w:p>
      <w:r>
        <w:rPr>
          <w:rFonts w:ascii="Times New Roman" w:hAnsi="Times New Roman"/>
          <w:b w:val="0"/>
          <w:i w:val="0"/>
          <w:sz w:val="23"/>
        </w:rPr>
        <w:t>Expected: id includes docker (for example, 109(docker)), and docker ps returns a container table without permission errors.</w:t>
      </w:r>
    </w:p>
    <w:p>
      <w:r>
        <w:rPr>
          <w:rFonts w:ascii="Times New Roman" w:hAnsi="Times New Roman"/>
          <w:b w:val="0"/>
          <w:i w:val="0"/>
          <w:sz w:val="23"/>
        </w:rPr>
        <w:t>5. Verify the Docker socket ownership:</w:t>
      </w:r>
    </w:p>
    <w:tbl>
      <w:tblPr>
        <w:tblW w:type="auto" w:w="0"/>
        <w:jc w:val="left"/>
        <w:tblLayout w:type="autofit"/>
        <w:tblLook w:firstColumn="1" w:firstRow="1" w:lastColumn="0" w:lastRow="0" w:noHBand="0" w:noVBand="1" w:val="04A0"/>
      </w:tblPr>
      <w:tblGrid>
        <w:gridCol w:w="9936"/>
      </w:tblGrid>
      <w:tr>
        <w:tc>
          <w:tcPr>
            <w:tcW w:type="dxa" w:w="9936"/>
            <w:shd w:fill="F3F5F7"/>
            <w:tcMar>
              <w:top w:w="80" w:type="dxa"/>
              <w:start w:w="100" w:type="dxa"/>
              <w:bottom w:w="80" w:type="dxa"/>
              <w:end w:w="100" w:type="dxa"/>
            </w:tcMar>
          </w:tcPr>
          <w:p>
            <w:pPr>
              <w:pStyle w:val="CodeBlock"/>
              <w:keepLines/>
            </w:pPr>
            <w:r/>
            <w:r>
              <w:rPr>
                <w:rFonts w:ascii="Courier New" w:hAnsi="Courier New"/>
                <w:b w:val="0"/>
                <w:i w:val="0"/>
                <w:sz w:val="18"/>
              </w:rPr>
              <w:t>ls -l /var/run/docker.sock</w:t>
            </w:r>
          </w:p>
          <w:p>
            <w:pPr>
              <w:pStyle w:val="CodeBlock"/>
              <w:keepLines/>
            </w:pPr>
            <w:r>
              <w:rPr>
                <w:rFonts w:ascii="Courier New" w:hAnsi="Courier New"/>
                <w:b w:val="0"/>
                <w:i w:val="0"/>
                <w:sz w:val="18"/>
              </w:rPr>
              <w:t>getent group docker</w:t>
            </w:r>
          </w:p>
        </w:tc>
      </w:tr>
    </w:tbl>
    <w:p>
      <w:pPr>
        <w:spacing w:after="20"/>
      </w:pPr>
    </w:p>
    <w:p>
      <w:r>
        <w:rPr>
          <w:rFonts w:ascii="Times New Roman" w:hAnsi="Times New Roman"/>
          <w:b w:val="0"/>
          <w:i w:val="0"/>
          <w:sz w:val="23"/>
        </w:rPr>
        <w:t>Typical socket permissions are root:docker with read/write access for the docker group.</w:t>
      </w:r>
    </w:p>
    <w:tbl>
      <w:tblPr>
        <w:tblW w:type="auto" w:w="0"/>
        <w:jc w:val="left"/>
        <w:tblLook w:firstColumn="1" w:firstRow="1" w:lastColumn="0" w:lastRow="0" w:noHBand="0" w:noVBand="1" w:val="04A0"/>
      </w:tblPr>
      <w:tblGrid>
        <w:gridCol w:w="9936"/>
      </w:tblGrid>
      <w:tr>
        <w:tc>
          <w:tcPr>
            <w:tcW w:type="dxa" w:w="9936"/>
            <w:shd w:fill="FCE4D6"/>
            <w:tcMar>
              <w:top w:w="80" w:type="dxa"/>
              <w:start w:w="100" w:type="dxa"/>
              <w:bottom w:w="80" w:type="dxa"/>
              <w:end w:w="100" w:type="dxa"/>
            </w:tcMar>
          </w:tcPr>
          <w:p>
            <w:r>
              <w:rPr>
                <w:rFonts w:ascii="Times New Roman" w:hAnsi="Times New Roman"/>
                <w:b/>
                <w:i w:val="0"/>
                <w:sz w:val="22"/>
              </w:rPr>
              <w:t xml:space="preserve">Do not use: </w:t>
            </w:r>
            <w:r>
              <w:rPr>
                <w:rFonts w:ascii="Times New Roman" w:hAnsi="Times New Roman"/>
                <w:b w:val="0"/>
                <w:i w:val="0"/>
                <w:sz w:val="22"/>
              </w:rPr>
              <w:t>Do not fix this lab with sudo chmod 777 /var/run/docker.sock. It exposes the Docker daemon broadly and is not the correct permission model.</w:t>
            </w:r>
          </w:p>
        </w:tc>
      </w:tr>
    </w:tbl>
    <w:p>
      <w:pPr>
        <w:spacing w:after="20"/>
      </w:pPr>
    </w:p>
    <w:p>
      <w:pPr>
        <w:pStyle w:val="Heading2"/>
        <w:keepNext/>
      </w:pPr>
      <w:r>
        <w:t>Verify TechDocs Configuration</w:t>
      </w:r>
    </w:p>
    <w:p>
      <w:r>
        <w:rPr>
          <w:rFonts w:ascii="Times New Roman" w:hAnsi="Times New Roman"/>
          <w:b w:val="0"/>
          <w:i w:val="0"/>
          <w:sz w:val="23"/>
        </w:rPr>
        <w:t>Open the Backstage configuration used by your environment (normally app-config.yaml) and verify the basic local lab configuration:</w:t>
      </w:r>
    </w:p>
    <w:tbl>
      <w:tblPr>
        <w:tblW w:type="auto" w:w="0"/>
        <w:jc w:val="left"/>
        <w:tblLayout w:type="autofit"/>
        <w:tblLook w:firstColumn="1" w:firstRow="1" w:lastColumn="0" w:lastRow="0" w:noHBand="0" w:noVBand="1" w:val="04A0"/>
      </w:tblPr>
      <w:tblGrid>
        <w:gridCol w:w="9936"/>
      </w:tblGrid>
      <w:tr>
        <w:tc>
          <w:tcPr>
            <w:tcW w:type="dxa" w:w="9936"/>
            <w:shd w:fill="F3F5F7"/>
            <w:tcMar>
              <w:top w:w="80" w:type="dxa"/>
              <w:start w:w="100" w:type="dxa"/>
              <w:bottom w:w="80" w:type="dxa"/>
              <w:end w:w="100" w:type="dxa"/>
            </w:tcMar>
          </w:tcPr>
          <w:p>
            <w:pPr>
              <w:pStyle w:val="CodeBlock"/>
              <w:keepLines/>
            </w:pPr>
            <w:r/>
            <w:r>
              <w:rPr>
                <w:rFonts w:ascii="Courier New" w:hAnsi="Courier New"/>
                <w:b w:val="0"/>
                <w:i w:val="0"/>
                <w:sz w:val="18"/>
              </w:rPr>
              <w:t>techdocs:</w:t>
            </w:r>
          </w:p>
          <w:p>
            <w:pPr>
              <w:pStyle w:val="CodeBlock"/>
              <w:keepLines/>
            </w:pPr>
            <w:r>
              <w:rPr>
                <w:rFonts w:ascii="Courier New" w:hAnsi="Courier New"/>
                <w:b w:val="0"/>
                <w:i w:val="0"/>
                <w:sz w:val="18"/>
              </w:rPr>
              <w:t xml:space="preserve">  builder: 'local'</w:t>
            </w:r>
          </w:p>
          <w:p>
            <w:pPr>
              <w:pStyle w:val="CodeBlock"/>
              <w:keepLines/>
            </w:pPr>
            <w:r>
              <w:rPr>
                <w:rFonts w:ascii="Courier New" w:hAnsi="Courier New"/>
                <w:b w:val="0"/>
                <w:i w:val="0"/>
                <w:sz w:val="18"/>
              </w:rPr>
              <w:t xml:space="preserve">  generator:</w:t>
            </w:r>
          </w:p>
          <w:p>
            <w:pPr>
              <w:pStyle w:val="CodeBlock"/>
              <w:keepLines/>
            </w:pPr>
            <w:r>
              <w:rPr>
                <w:rFonts w:ascii="Courier New" w:hAnsi="Courier New"/>
                <w:b w:val="0"/>
                <w:i w:val="0"/>
                <w:sz w:val="18"/>
              </w:rPr>
              <w:t xml:space="preserve">    runIn: 'docker'</w:t>
            </w:r>
          </w:p>
          <w:p>
            <w:pPr>
              <w:pStyle w:val="CodeBlock"/>
              <w:keepLines/>
            </w:pPr>
            <w:r>
              <w:rPr>
                <w:rFonts w:ascii="Courier New" w:hAnsi="Courier New"/>
                <w:b w:val="0"/>
                <w:i w:val="0"/>
                <w:sz w:val="18"/>
              </w:rPr>
              <w:t xml:space="preserve">  publisher:</w:t>
            </w:r>
          </w:p>
          <w:p>
            <w:pPr>
              <w:pStyle w:val="CodeBlock"/>
              <w:keepLines/>
            </w:pPr>
            <w:r>
              <w:rPr>
                <w:rFonts w:ascii="Courier New" w:hAnsi="Courier New"/>
                <w:b w:val="0"/>
                <w:i w:val="0"/>
                <w:sz w:val="18"/>
              </w:rPr>
              <w:t xml:space="preserve">    type: 'local'</w:t>
            </w:r>
          </w:p>
        </w:tc>
      </w:tr>
    </w:tbl>
    <w:p>
      <w:pPr>
        <w:spacing w:after="20"/>
      </w:pPr>
    </w:p>
    <w:p>
      <w:r>
        <w:rPr>
          <w:rFonts w:ascii="Times New Roman" w:hAnsi="Times New Roman"/>
          <w:b w:val="0"/>
          <w:i w:val="0"/>
          <w:sz w:val="23"/>
        </w:rPr>
        <w:t>For this lab, builder: local means the TechDocs backend performs the build when a user opens documentation; runIn: docker means MkDocs runs in the TechDocs container; publisher: local stores generated docs on the Backstage host.</w:t>
      </w:r>
    </w:p>
    <w:p>
      <w:pPr>
        <w:pStyle w:val="Heading2"/>
        <w:keepNext/>
      </w:pPr>
      <w:r>
        <w:t>Start or Restart Backstage</w:t>
      </w:r>
    </w:p>
    <w:tbl>
      <w:tblPr>
        <w:tblW w:type="auto" w:w="0"/>
        <w:jc w:val="left"/>
        <w:tblLayout w:type="autofit"/>
        <w:tblLook w:firstColumn="1" w:firstRow="1" w:lastColumn="0" w:lastRow="0" w:noHBand="0" w:noVBand="1" w:val="04A0"/>
      </w:tblPr>
      <w:tblGrid>
        <w:gridCol w:w="9936"/>
      </w:tblGrid>
      <w:tr>
        <w:tc>
          <w:tcPr>
            <w:tcW w:type="dxa" w:w="9936"/>
            <w:shd w:fill="F3F5F7"/>
            <w:tcMar>
              <w:top w:w="80" w:type="dxa"/>
              <w:start w:w="100" w:type="dxa"/>
              <w:bottom w:w="80" w:type="dxa"/>
              <w:end w:w="100" w:type="dxa"/>
            </w:tcMar>
          </w:tcPr>
          <w:p>
            <w:pPr>
              <w:pStyle w:val="CodeBlock"/>
              <w:keepLines/>
            </w:pPr>
            <w:r/>
            <w:r>
              <w:rPr>
                <w:rFonts w:ascii="Courier New" w:hAnsi="Courier New"/>
                <w:b w:val="0"/>
                <w:i w:val="0"/>
                <w:sz w:val="18"/>
              </w:rPr>
              <w:t>cd ~/raman-idp</w:t>
            </w:r>
          </w:p>
          <w:p>
            <w:pPr>
              <w:pStyle w:val="CodeBlock"/>
              <w:keepLines/>
            </w:pPr>
            <w:r>
              <w:rPr>
                <w:rFonts w:ascii="Courier New" w:hAnsi="Courier New"/>
                <w:b w:val="0"/>
                <w:i w:val="0"/>
                <w:sz w:val="18"/>
              </w:rPr>
              <w:t>yarn start</w:t>
            </w:r>
          </w:p>
        </w:tc>
      </w:tr>
    </w:tbl>
    <w:p>
      <w:pPr>
        <w:spacing w:after="20"/>
      </w:pPr>
    </w:p>
    <w:tbl>
      <w:tblPr>
        <w:tblW w:type="auto" w:w="0"/>
        <w:jc w:val="left"/>
        <w:tblLook w:firstColumn="1" w:firstRow="1" w:lastColumn="0" w:lastRow="0" w:noHBand="0" w:noVBand="1" w:val="04A0"/>
      </w:tblPr>
      <w:tblGrid>
        <w:gridCol w:w="9936"/>
      </w:tblGrid>
      <w:tr>
        <w:tc>
          <w:tcPr>
            <w:tcW w:type="dxa" w:w="9936"/>
            <w:shd w:fill="FFF2CC"/>
            <w:tcMar>
              <w:top w:w="80" w:type="dxa"/>
              <w:start w:w="100" w:type="dxa"/>
              <w:bottom w:w="80" w:type="dxa"/>
              <w:end w:w="100" w:type="dxa"/>
            </w:tcMar>
          </w:tcPr>
          <w:p>
            <w:r>
              <w:rPr>
                <w:rFonts w:ascii="Times New Roman" w:hAnsi="Times New Roman"/>
                <w:b/>
                <w:i w:val="0"/>
                <w:sz w:val="22"/>
              </w:rPr>
              <w:t xml:space="preserve">Critical restart rule: </w:t>
            </w:r>
            <w:r>
              <w:rPr>
                <w:rFonts w:ascii="Times New Roman" w:hAnsi="Times New Roman"/>
                <w:b w:val="0"/>
                <w:i w:val="0"/>
                <w:sz w:val="22"/>
              </w:rPr>
              <w:t>If Docker group membership was changed while Backstage was already running, stop the old Backstage process and start it again from the newly reconnected shell. A running Node process does not retroactively inherit new Linux group membership.</w:t>
            </w:r>
          </w:p>
        </w:tc>
      </w:tr>
    </w:tbl>
    <w:p>
      <w:pPr>
        <w:spacing w:after="20"/>
      </w:pPr>
    </w:p>
    <w:p>
      <w:r>
        <w:rPr>
          <w:rFonts w:ascii="Times New Roman" w:hAnsi="Times New Roman"/>
          <w:b w:val="0"/>
          <w:i w:val="0"/>
          <w:sz w:val="23"/>
        </w:rPr>
        <w:t>Verify portal access:</w:t>
      </w:r>
    </w:p>
    <w:tbl>
      <w:tblPr>
        <w:tblW w:type="auto" w:w="0"/>
        <w:jc w:val="left"/>
        <w:tblLayout w:type="autofit"/>
        <w:tblLook w:firstColumn="1" w:firstRow="1" w:lastColumn="0" w:lastRow="0" w:noHBand="0" w:noVBand="1" w:val="04A0"/>
      </w:tblPr>
      <w:tblGrid>
        <w:gridCol w:w="9936"/>
      </w:tblGrid>
      <w:tr>
        <w:tc>
          <w:tcPr>
            <w:tcW w:type="dxa" w:w="9936"/>
            <w:shd w:fill="F3F5F7"/>
            <w:tcMar>
              <w:top w:w="80" w:type="dxa"/>
              <w:start w:w="100" w:type="dxa"/>
              <w:bottom w:w="80" w:type="dxa"/>
              <w:end w:w="100" w:type="dxa"/>
            </w:tcMar>
          </w:tcPr>
          <w:p>
            <w:pPr>
              <w:pStyle w:val="CodeBlock"/>
              <w:keepLines/>
            </w:pPr>
            <w:r/>
            <w:r>
              <w:rPr>
                <w:rFonts w:ascii="Courier New" w:hAnsi="Courier New"/>
                <w:b w:val="0"/>
                <w:i w:val="0"/>
                <w:sz w:val="18"/>
              </w:rPr>
              <w:t>http://&lt;EC2-PUBLIC-IP&gt;:3000</w:t>
            </w:r>
          </w:p>
        </w:tc>
      </w:tr>
    </w:tbl>
    <w:p>
      <w:pPr>
        <w:spacing w:after="20"/>
      </w:pPr>
    </w:p>
    <w:p>
      <w:pPr>
        <w:pStyle w:val="Heading1"/>
        <w:keepNext/>
      </w:pPr>
      <w:r>
        <w:t>Lab Flow Overview</w:t>
      </w:r>
    </w:p>
    <w:p>
      <w:pPr>
        <w:pStyle w:val="ListNumber"/>
        <w:spacing w:after="40"/>
      </w:pPr>
      <w:r>
        <w:rPr>
          <w:rFonts w:ascii="Times New Roman" w:hAnsi="Times New Roman"/>
          <w:b w:val="0"/>
          <w:i w:val="0"/>
          <w:sz w:val="22"/>
        </w:rPr>
        <w:t>Validate TechDocs and Docker prerequisites.</w:t>
      </w:r>
    </w:p>
    <w:p>
      <w:pPr>
        <w:pStyle w:val="ListNumber"/>
        <w:spacing w:after="40"/>
      </w:pPr>
      <w:r>
        <w:rPr>
          <w:rFonts w:ascii="Times New Roman" w:hAnsi="Times New Roman"/>
          <w:b w:val="0"/>
          <w:i w:val="0"/>
          <w:sz w:val="22"/>
        </w:rPr>
        <w:t>Open the Golden Path service template skeleton.</w:t>
      </w:r>
    </w:p>
    <w:p>
      <w:pPr>
        <w:pStyle w:val="ListNumber"/>
        <w:spacing w:after="40"/>
      </w:pPr>
      <w:r>
        <w:rPr>
          <w:rFonts w:ascii="Times New Roman" w:hAnsi="Times New Roman"/>
          <w:b w:val="0"/>
          <w:i w:val="0"/>
          <w:sz w:val="22"/>
        </w:rPr>
        <w:t>Create a multi-page docs/ structure.</w:t>
      </w:r>
    </w:p>
    <w:p>
      <w:pPr>
        <w:pStyle w:val="ListNumber"/>
        <w:spacing w:after="40"/>
      </w:pPr>
      <w:r>
        <w:rPr>
          <w:rFonts w:ascii="Times New Roman" w:hAnsi="Times New Roman"/>
          <w:b w:val="0"/>
          <w:i w:val="0"/>
          <w:sz w:val="22"/>
        </w:rPr>
        <w:t>Create a richer mkdocs.yml navigation configuration.</w:t>
      </w:r>
    </w:p>
    <w:p>
      <w:pPr>
        <w:pStyle w:val="ListNumber"/>
        <w:spacing w:after="40"/>
      </w:pPr>
      <w:r>
        <w:rPr>
          <w:rFonts w:ascii="Times New Roman" w:hAnsi="Times New Roman"/>
          <w:b w:val="0"/>
          <w:i w:val="0"/>
          <w:sz w:val="22"/>
        </w:rPr>
        <w:t>Add TechDocs metadata to catalog-info.yaml.</w:t>
      </w:r>
    </w:p>
    <w:p>
      <w:pPr>
        <w:pStyle w:val="ListNumber"/>
        <w:spacing w:after="40"/>
      </w:pPr>
      <w:r>
        <w:rPr>
          <w:rFonts w:ascii="Times New Roman" w:hAnsi="Times New Roman"/>
          <w:b w:val="0"/>
          <w:i w:val="0"/>
          <w:sz w:val="22"/>
        </w:rPr>
        <w:t>Generate a new service from Backstage.</w:t>
      </w:r>
    </w:p>
    <w:p>
      <w:pPr>
        <w:pStyle w:val="ListNumber"/>
        <w:spacing w:after="40"/>
      </w:pPr>
      <w:r>
        <w:rPr>
          <w:rFonts w:ascii="Times New Roman" w:hAnsi="Times New Roman"/>
          <w:b w:val="0"/>
          <w:i w:val="0"/>
          <w:sz w:val="22"/>
        </w:rPr>
        <w:t>Verify the generated repository.</w:t>
      </w:r>
    </w:p>
    <w:p>
      <w:pPr>
        <w:pStyle w:val="ListNumber"/>
        <w:spacing w:after="40"/>
      </w:pPr>
      <w:r>
        <w:rPr>
          <w:rFonts w:ascii="Times New Roman" w:hAnsi="Times New Roman"/>
          <w:b w:val="0"/>
          <w:i w:val="0"/>
          <w:sz w:val="22"/>
        </w:rPr>
        <w:t>Register/open the component in the Catalog.</w:t>
      </w:r>
    </w:p>
    <w:p>
      <w:pPr>
        <w:pStyle w:val="ListNumber"/>
        <w:spacing w:after="40"/>
      </w:pPr>
      <w:r>
        <w:rPr>
          <w:rFonts w:ascii="Times New Roman" w:hAnsi="Times New Roman"/>
          <w:b w:val="0"/>
          <w:i w:val="0"/>
          <w:sz w:val="22"/>
        </w:rPr>
        <w:t>Open TechDocs and review the multi-page documentation.</w:t>
      </w:r>
    </w:p>
    <w:p>
      <w:pPr>
        <w:pStyle w:val="ListNumber"/>
        <w:spacing w:after="40"/>
      </w:pPr>
      <w:r>
        <w:rPr>
          <w:rFonts w:ascii="Times New Roman" w:hAnsi="Times New Roman"/>
          <w:b w:val="0"/>
          <w:i w:val="0"/>
          <w:sz w:val="22"/>
        </w:rPr>
        <w:t>Practice troubleshooting using the corrected Docker permission workflow.</w:t>
      </w:r>
    </w:p>
    <w:p>
      <w:pPr>
        <w:pStyle w:val="Heading1"/>
        <w:keepNext/>
      </w:pPr>
      <w:r>
        <w:t>Step 1 – Navigate to the Service Template Skeleton</w:t>
      </w:r>
    </w:p>
    <w:tbl>
      <w:tblPr>
        <w:tblW w:type="auto" w:w="0"/>
        <w:jc w:val="left"/>
        <w:tblLayout w:type="autofit"/>
        <w:tblLook w:firstColumn="1" w:firstRow="1" w:lastColumn="0" w:lastRow="0" w:noHBand="0" w:noVBand="1" w:val="04A0"/>
      </w:tblPr>
      <w:tblGrid>
        <w:gridCol w:w="9936"/>
      </w:tblGrid>
      <w:tr>
        <w:tc>
          <w:tcPr>
            <w:tcW w:type="dxa" w:w="9936"/>
            <w:shd w:fill="F3F5F7"/>
            <w:tcMar>
              <w:top w:w="80" w:type="dxa"/>
              <w:start w:w="100" w:type="dxa"/>
              <w:bottom w:w="80" w:type="dxa"/>
              <w:end w:w="100" w:type="dxa"/>
            </w:tcMar>
          </w:tcPr>
          <w:p>
            <w:pPr>
              <w:pStyle w:val="CodeBlock"/>
              <w:keepLines/>
            </w:pPr>
            <w:r/>
            <w:r>
              <w:rPr>
                <w:rFonts w:ascii="Courier New" w:hAnsi="Courier New"/>
                <w:b w:val="0"/>
                <w:i w:val="0"/>
                <w:sz w:val="18"/>
              </w:rPr>
              <w:t>cd ~/raman-idp/examples/standardized-template-2/skeleton</w:t>
            </w:r>
          </w:p>
          <w:p>
            <w:pPr>
              <w:pStyle w:val="CodeBlock"/>
              <w:keepLines/>
            </w:pPr>
            <w:r>
              <w:rPr>
                <w:rFonts w:ascii="Courier New" w:hAnsi="Courier New"/>
                <w:b w:val="0"/>
                <w:i w:val="0"/>
                <w:sz w:val="18"/>
              </w:rPr>
              <w:t>pwd</w:t>
            </w:r>
          </w:p>
          <w:p>
            <w:pPr>
              <w:pStyle w:val="CodeBlock"/>
              <w:keepLines/>
            </w:pPr>
            <w:r>
              <w:rPr>
                <w:rFonts w:ascii="Courier New" w:hAnsi="Courier New"/>
                <w:b w:val="0"/>
                <w:i w:val="0"/>
                <w:sz w:val="18"/>
              </w:rPr>
              <w:t>ls -la</w:t>
            </w:r>
          </w:p>
        </w:tc>
      </w:tr>
    </w:tbl>
    <w:p>
      <w:pPr>
        <w:spacing w:after="20"/>
      </w:pPr>
    </w:p>
    <w:p>
      <w:r>
        <w:rPr>
          <w:rFonts w:ascii="Times New Roman" w:hAnsi="Times New Roman"/>
          <w:b w:val="0"/>
          <w:i w:val="0"/>
          <w:sz w:val="23"/>
        </w:rPr>
        <w:t>The skeleton is the repository content that the Golden Path copies into each generated service. Changes made here become platform defaults for future services.</w:t>
      </w:r>
    </w:p>
    <w:p>
      <w:pPr>
        <w:pStyle w:val="Heading1"/>
        <w:keepNext/>
      </w:pPr>
      <w:r>
        <w:t>Step 2 – Create the Documentation Structure</w:t>
      </w:r>
    </w:p>
    <w:tbl>
      <w:tblPr>
        <w:tblW w:type="auto" w:w="0"/>
        <w:jc w:val="left"/>
        <w:tblLayout w:type="autofit"/>
        <w:tblLook w:firstColumn="1" w:firstRow="1" w:lastColumn="0" w:lastRow="0" w:noHBand="0" w:noVBand="1" w:val="04A0"/>
      </w:tblPr>
      <w:tblGrid>
        <w:gridCol w:w="9936"/>
      </w:tblGrid>
      <w:tr>
        <w:tc>
          <w:tcPr>
            <w:tcW w:type="dxa" w:w="9936"/>
            <w:shd w:fill="F3F5F7"/>
            <w:tcMar>
              <w:top w:w="80" w:type="dxa"/>
              <w:start w:w="100" w:type="dxa"/>
              <w:bottom w:w="80" w:type="dxa"/>
              <w:end w:w="100" w:type="dxa"/>
            </w:tcMar>
          </w:tcPr>
          <w:p>
            <w:pPr>
              <w:pStyle w:val="CodeBlock"/>
              <w:keepLines/>
            </w:pPr>
            <w:r/>
            <w:r>
              <w:rPr>
                <w:rFonts w:ascii="Courier New" w:hAnsi="Courier New"/>
                <w:b w:val="0"/>
                <w:i w:val="0"/>
                <w:sz w:val="18"/>
              </w:rPr>
              <w:t>mkdir -p docs</w:t>
            </w:r>
          </w:p>
          <w:p>
            <w:pPr>
              <w:pStyle w:val="CodeBlock"/>
              <w:keepLines/>
            </w:pPr>
            <w:r>
              <w:rPr>
                <w:rFonts w:ascii="Courier New" w:hAnsi="Courier New"/>
                <w:b w:val="0"/>
                <w:i w:val="0"/>
                <w:sz w:val="18"/>
              </w:rPr>
              <w:t>touch docs/index.md docs/getting-started.md docs/architecture.md docs/api.md docs/operations.md docs/troubleshooting.md</w:t>
            </w:r>
          </w:p>
        </w:tc>
      </w:tr>
    </w:tbl>
    <w:p>
      <w:pPr>
        <w:spacing w:after="20"/>
      </w:pPr>
    </w:p>
    <w:p>
      <w:r>
        <w:rPr>
          <w:rFonts w:ascii="Times New Roman" w:hAnsi="Times New Roman"/>
          <w:b w:val="0"/>
          <w:i w:val="0"/>
          <w:sz w:val="23"/>
        </w:rPr>
        <w:t>The service template will now generate six documentation pages instead of only one landing page.</w:t>
      </w:r>
    </w:p>
    <w:tbl>
      <w:tblPr>
        <w:tblW w:type="auto" w:w="0"/>
        <w:jc w:val="left"/>
        <w:tblLayout w:type="autofit"/>
        <w:tblLook w:firstColumn="1" w:firstRow="1" w:lastColumn="0" w:lastRow="0" w:noHBand="0" w:noVBand="1" w:val="04A0"/>
      </w:tblPr>
      <w:tblGrid>
        <w:gridCol w:w="9936"/>
      </w:tblGrid>
      <w:tr>
        <w:tc>
          <w:tcPr>
            <w:tcW w:type="dxa" w:w="9936"/>
            <w:shd w:fill="F3F5F7"/>
            <w:tcMar>
              <w:top w:w="80" w:type="dxa"/>
              <w:start w:w="100" w:type="dxa"/>
              <w:bottom w:w="80" w:type="dxa"/>
              <w:end w:w="100" w:type="dxa"/>
            </w:tcMar>
          </w:tcPr>
          <w:p>
            <w:pPr>
              <w:pStyle w:val="CodeBlock"/>
              <w:keepLines/>
            </w:pPr>
            <w:r/>
            <w:r>
              <w:rPr>
                <w:rFonts w:ascii="Courier New" w:hAnsi="Courier New"/>
                <w:b w:val="0"/>
                <w:i w:val="0"/>
                <w:sz w:val="18"/>
              </w:rPr>
              <w:t>find docs -maxdepth 1 -type f -print</w:t>
            </w:r>
          </w:p>
        </w:tc>
      </w:tr>
    </w:tbl>
    <w:p>
      <w:pPr>
        <w:spacing w:after="20"/>
      </w:pPr>
    </w:p>
    <w:p>
      <w:r>
        <w:rPr>
          <w:rFonts w:ascii="Times New Roman" w:hAnsi="Times New Roman"/>
          <w:b w:val="0"/>
          <w:i w:val="0"/>
          <w:sz w:val="23"/>
        </w:rPr>
        <w:t>Expected:</w:t>
      </w:r>
    </w:p>
    <w:tbl>
      <w:tblPr>
        <w:tblW w:type="auto" w:w="0"/>
        <w:jc w:val="left"/>
        <w:tblLayout w:type="autofit"/>
        <w:tblLook w:firstColumn="1" w:firstRow="1" w:lastColumn="0" w:lastRow="0" w:noHBand="0" w:noVBand="1" w:val="04A0"/>
      </w:tblPr>
      <w:tblGrid>
        <w:gridCol w:w="9936"/>
      </w:tblGrid>
      <w:tr>
        <w:tc>
          <w:tcPr>
            <w:tcW w:type="dxa" w:w="9936"/>
            <w:shd w:fill="F3F5F7"/>
            <w:tcMar>
              <w:top w:w="80" w:type="dxa"/>
              <w:start w:w="100" w:type="dxa"/>
              <w:bottom w:w="80" w:type="dxa"/>
              <w:end w:w="100" w:type="dxa"/>
            </w:tcMar>
          </w:tcPr>
          <w:p>
            <w:pPr>
              <w:pStyle w:val="CodeBlock"/>
              <w:keepLines/>
            </w:pPr>
            <w:r/>
            <w:r>
              <w:rPr>
                <w:rFonts w:ascii="Courier New" w:hAnsi="Courier New"/>
                <w:b w:val="0"/>
                <w:i w:val="0"/>
                <w:sz w:val="18"/>
              </w:rPr>
              <w:t>docs/index.md</w:t>
            </w:r>
          </w:p>
          <w:p>
            <w:pPr>
              <w:pStyle w:val="CodeBlock"/>
              <w:keepLines/>
            </w:pPr>
            <w:r>
              <w:rPr>
                <w:rFonts w:ascii="Courier New" w:hAnsi="Courier New"/>
                <w:b w:val="0"/>
                <w:i w:val="0"/>
                <w:sz w:val="18"/>
              </w:rPr>
              <w:t>docs/getting-started.md</w:t>
            </w:r>
          </w:p>
          <w:p>
            <w:pPr>
              <w:pStyle w:val="CodeBlock"/>
              <w:keepLines/>
            </w:pPr>
            <w:r>
              <w:rPr>
                <w:rFonts w:ascii="Courier New" w:hAnsi="Courier New"/>
                <w:b w:val="0"/>
                <w:i w:val="0"/>
                <w:sz w:val="18"/>
              </w:rPr>
              <w:t>docs/architecture.md</w:t>
            </w:r>
          </w:p>
          <w:p>
            <w:pPr>
              <w:pStyle w:val="CodeBlock"/>
              <w:keepLines/>
            </w:pPr>
            <w:r>
              <w:rPr>
                <w:rFonts w:ascii="Courier New" w:hAnsi="Courier New"/>
                <w:b w:val="0"/>
                <w:i w:val="0"/>
                <w:sz w:val="18"/>
              </w:rPr>
              <w:t>docs/api.md</w:t>
            </w:r>
          </w:p>
          <w:p>
            <w:pPr>
              <w:pStyle w:val="CodeBlock"/>
              <w:keepLines/>
            </w:pPr>
            <w:r>
              <w:rPr>
                <w:rFonts w:ascii="Courier New" w:hAnsi="Courier New"/>
                <w:b w:val="0"/>
                <w:i w:val="0"/>
                <w:sz w:val="18"/>
              </w:rPr>
              <w:t>docs/operations.md</w:t>
            </w:r>
          </w:p>
          <w:p>
            <w:pPr>
              <w:pStyle w:val="CodeBlock"/>
              <w:keepLines/>
            </w:pPr>
            <w:r>
              <w:rPr>
                <w:rFonts w:ascii="Courier New" w:hAnsi="Courier New"/>
                <w:b w:val="0"/>
                <w:i w:val="0"/>
                <w:sz w:val="18"/>
              </w:rPr>
              <w:t>docs/troubleshooting.md</w:t>
            </w:r>
          </w:p>
        </w:tc>
      </w:tr>
    </w:tbl>
    <w:p>
      <w:pPr>
        <w:spacing w:after="20"/>
      </w:pPr>
    </w:p>
    <w:p>
      <w:pPr>
        <w:pStyle w:val="Heading1"/>
        <w:keepNext/>
      </w:pPr>
      <w:r>
        <w:t>Step 3 – Create the Documentation Home Page</w:t>
      </w:r>
    </w:p>
    <w:p>
      <w:r>
        <w:rPr>
          <w:rFonts w:ascii="Times New Roman" w:hAnsi="Times New Roman"/>
          <w:b w:val="0"/>
          <w:i w:val="0"/>
          <w:sz w:val="23"/>
        </w:rPr>
        <w:t>Edit:</w:t>
      </w:r>
    </w:p>
    <w:tbl>
      <w:tblPr>
        <w:tblW w:type="auto" w:w="0"/>
        <w:jc w:val="left"/>
        <w:tblLayout w:type="autofit"/>
        <w:tblLook w:firstColumn="1" w:firstRow="1" w:lastColumn="0" w:lastRow="0" w:noHBand="0" w:noVBand="1" w:val="04A0"/>
      </w:tblPr>
      <w:tblGrid>
        <w:gridCol w:w="9936"/>
      </w:tblGrid>
      <w:tr>
        <w:tc>
          <w:tcPr>
            <w:tcW w:type="dxa" w:w="9936"/>
            <w:shd w:fill="F3F5F7"/>
            <w:tcMar>
              <w:top w:w="80" w:type="dxa"/>
              <w:start w:w="100" w:type="dxa"/>
              <w:bottom w:w="80" w:type="dxa"/>
              <w:end w:w="100" w:type="dxa"/>
            </w:tcMar>
          </w:tcPr>
          <w:p>
            <w:pPr>
              <w:pStyle w:val="CodeBlock"/>
              <w:keepLines/>
            </w:pPr>
            <w:r/>
            <w:r>
              <w:rPr>
                <w:rFonts w:ascii="Courier New" w:hAnsi="Courier New"/>
                <w:b w:val="0"/>
                <w:i w:val="0"/>
                <w:sz w:val="18"/>
              </w:rPr>
              <w:t>nano docs/index.md</w:t>
            </w:r>
          </w:p>
        </w:tc>
      </w:tr>
    </w:tbl>
    <w:p>
      <w:pPr>
        <w:spacing w:after="20"/>
      </w:pPr>
    </w:p>
    <w:p>
      <w:r>
        <w:rPr>
          <w:rFonts w:ascii="Times New Roman" w:hAnsi="Times New Roman"/>
          <w:b w:val="0"/>
          <w:i w:val="0"/>
          <w:sz w:val="23"/>
        </w:rPr>
        <w:t>Add:</w:t>
      </w:r>
    </w:p>
    <w:tbl>
      <w:tblPr>
        <w:tblW w:type="auto" w:w="0"/>
        <w:jc w:val="left"/>
        <w:tblLayout w:type="autofit"/>
        <w:tblLook w:firstColumn="1" w:firstRow="1" w:lastColumn="0" w:lastRow="0" w:noHBand="0" w:noVBand="1" w:val="04A0"/>
      </w:tblPr>
      <w:tblGrid>
        <w:gridCol w:w="9936"/>
      </w:tblGrid>
      <w:tr>
        <w:tc>
          <w:tcPr>
            <w:tcW w:type="dxa" w:w="9936"/>
            <w:shd w:fill="F3F5F7"/>
            <w:tcMar>
              <w:top w:w="80" w:type="dxa"/>
              <w:start w:w="100" w:type="dxa"/>
              <w:bottom w:w="80" w:type="dxa"/>
              <w:end w:w="100" w:type="dxa"/>
            </w:tcMar>
          </w:tcPr>
          <w:p>
            <w:pPr>
              <w:pStyle w:val="CodeBlock"/>
              <w:keepLines/>
            </w:pPr>
            <w:r/>
            <w:r>
              <w:rPr>
                <w:rFonts w:ascii="Courier New" w:hAnsi="Courier New"/>
                <w:b w:val="0"/>
                <w:i w:val="0"/>
                <w:sz w:val="18"/>
              </w:rPr>
              <w:t># ${{ values.service_name }}</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Welcome to the service documentation for **${{ values.service_name }}**.</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 Service Overview</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 Item | Value |</w:t>
            </w:r>
          </w:p>
          <w:p>
            <w:pPr>
              <w:pStyle w:val="CodeBlock"/>
              <w:keepLines/>
            </w:pPr>
            <w:r>
              <w:rPr>
                <w:rFonts w:ascii="Courier New" w:hAnsi="Courier New"/>
                <w:b w:val="0"/>
                <w:i w:val="0"/>
                <w:sz w:val="18"/>
              </w:rPr>
              <w:t>|---|---|</w:t>
            </w:r>
          </w:p>
          <w:p>
            <w:pPr>
              <w:pStyle w:val="CodeBlock"/>
              <w:keepLines/>
            </w:pPr>
            <w:r>
              <w:rPr>
                <w:rFonts w:ascii="Courier New" w:hAnsi="Courier New"/>
                <w:b w:val="0"/>
                <w:i w:val="0"/>
                <w:sz w:val="18"/>
              </w:rPr>
              <w:t>| Service | `${{ values.service_name }}` |</w:t>
            </w:r>
          </w:p>
          <w:p>
            <w:pPr>
              <w:pStyle w:val="CodeBlock"/>
              <w:keepLines/>
            </w:pPr>
            <w:r>
              <w:rPr>
                <w:rFonts w:ascii="Courier New" w:hAnsi="Courier New"/>
                <w:b w:val="0"/>
                <w:i w:val="0"/>
                <w:sz w:val="18"/>
              </w:rPr>
              <w:t>| Owner | `${{ values.owner }}` |</w:t>
            </w:r>
          </w:p>
          <w:p>
            <w:pPr>
              <w:pStyle w:val="CodeBlock"/>
              <w:keepLines/>
            </w:pPr>
            <w:r>
              <w:rPr>
                <w:rFonts w:ascii="Courier New" w:hAnsi="Courier New"/>
                <w:b w:val="0"/>
                <w:i w:val="0"/>
                <w:sz w:val="18"/>
              </w:rPr>
              <w:t>| Lifecycle | `development` |</w:t>
            </w:r>
          </w:p>
          <w:p>
            <w:pPr>
              <w:pStyle w:val="CodeBlock"/>
              <w:keepLines/>
            </w:pPr>
            <w:r>
              <w:rPr>
                <w:rFonts w:ascii="Courier New" w:hAnsi="Courier New"/>
                <w:b w:val="0"/>
                <w:i w:val="0"/>
                <w:sz w:val="18"/>
              </w:rPr>
              <w:t>| Port | `${{ values.port }}` |</w:t>
            </w:r>
          </w:p>
          <w:p>
            <w:pPr>
              <w:pStyle w:val="CodeBlock"/>
              <w:keepLines/>
            </w:pPr>
            <w:r>
              <w:rPr>
                <w:rFonts w:ascii="Courier New" w:hAnsi="Courier New"/>
                <w:b w:val="0"/>
                <w:i w:val="0"/>
                <w:sz w:val="18"/>
              </w:rPr>
              <w:t>| Health endpoint | `/health` |</w:t>
            </w:r>
          </w:p>
          <w:p>
            <w:pPr>
              <w:pStyle w:val="CodeBlock"/>
              <w:keepLines/>
            </w:pPr>
            <w:r>
              <w:rPr>
                <w:rFonts w:ascii="Courier New" w:hAnsi="Courier New"/>
                <w:b w:val="0"/>
                <w:i w:val="0"/>
                <w:sz w:val="18"/>
              </w:rPr>
              <w:t>| Metrics endpoint | `/metrics` |</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 What This Service Provides</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This service was created through the GlobalShop Backstage Golden Path.</w:t>
            </w:r>
          </w:p>
          <w:p>
            <w:pPr>
              <w:pStyle w:val="CodeBlock"/>
              <w:keepLines/>
            </w:pPr>
            <w:r>
              <w:rPr>
                <w:rFonts w:ascii="Courier New" w:hAnsi="Courier New"/>
                <w:b w:val="0"/>
                <w:i w:val="0"/>
                <w:sz w:val="18"/>
              </w:rPr>
              <w:t>The platform automatically generated the repository, service metadata,</w:t>
            </w:r>
          </w:p>
          <w:p>
            <w:pPr>
              <w:pStyle w:val="CodeBlock"/>
              <w:keepLines/>
            </w:pPr>
            <w:r>
              <w:rPr>
                <w:rFonts w:ascii="Courier New" w:hAnsi="Courier New"/>
                <w:b w:val="0"/>
                <w:i w:val="0"/>
                <w:sz w:val="18"/>
              </w:rPr>
              <w:t>operational defaults, and documentation structure.</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 Documentation</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 [Getting Started](getting-started.md)</w:t>
            </w:r>
          </w:p>
          <w:p>
            <w:pPr>
              <w:pStyle w:val="CodeBlock"/>
              <w:keepLines/>
            </w:pPr>
            <w:r>
              <w:rPr>
                <w:rFonts w:ascii="Courier New" w:hAnsi="Courier New"/>
                <w:b w:val="0"/>
                <w:i w:val="0"/>
                <w:sz w:val="18"/>
              </w:rPr>
              <w:t>- [Architecture](architecture.md)</w:t>
            </w:r>
          </w:p>
          <w:p>
            <w:pPr>
              <w:pStyle w:val="CodeBlock"/>
              <w:keepLines/>
            </w:pPr>
            <w:r>
              <w:rPr>
                <w:rFonts w:ascii="Courier New" w:hAnsi="Courier New"/>
                <w:b w:val="0"/>
                <w:i w:val="0"/>
                <w:sz w:val="18"/>
              </w:rPr>
              <w:t>- [API &amp; Endpoints](api.md)</w:t>
            </w:r>
          </w:p>
          <w:p>
            <w:pPr>
              <w:pStyle w:val="CodeBlock"/>
              <w:keepLines/>
            </w:pPr>
            <w:r>
              <w:rPr>
                <w:rFonts w:ascii="Courier New" w:hAnsi="Courier New"/>
                <w:b w:val="0"/>
                <w:i w:val="0"/>
                <w:sz w:val="18"/>
              </w:rPr>
              <w:t>- [Operations](operations.md)</w:t>
            </w:r>
          </w:p>
          <w:p>
            <w:pPr>
              <w:pStyle w:val="CodeBlock"/>
              <w:keepLines/>
            </w:pPr>
            <w:r>
              <w:rPr>
                <w:rFonts w:ascii="Courier New" w:hAnsi="Courier New"/>
                <w:b w:val="0"/>
                <w:i w:val="0"/>
                <w:sz w:val="18"/>
              </w:rPr>
              <w:t>- [Troubleshooting](troubleshooting.md)</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 Ownership</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The owning team is **${{ values.owner }}**.</w:t>
            </w:r>
          </w:p>
          <w:p>
            <w:pPr>
              <w:pStyle w:val="CodeBlock"/>
              <w:keepLines/>
            </w:pPr>
            <w:r>
              <w:rPr>
                <w:rFonts w:ascii="Courier New" w:hAnsi="Courier New"/>
                <w:b w:val="0"/>
                <w:i w:val="0"/>
                <w:sz w:val="18"/>
              </w:rPr>
              <w:t>Service-specific operational knowledge should be maintained in this repository</w:t>
            </w:r>
          </w:p>
          <w:p>
            <w:pPr>
              <w:pStyle w:val="CodeBlock"/>
              <w:keepLines/>
            </w:pPr>
            <w:r>
              <w:rPr>
                <w:rFonts w:ascii="Courier New" w:hAnsi="Courier New"/>
                <w:b w:val="0"/>
                <w:i w:val="0"/>
                <w:sz w:val="18"/>
              </w:rPr>
              <w:t>so it remains versioned together with the code.</w:t>
            </w:r>
          </w:p>
        </w:tc>
      </w:tr>
    </w:tbl>
    <w:p>
      <w:pPr>
        <w:spacing w:after="20"/>
      </w:pPr>
    </w:p>
    <w:p>
      <w:r>
        <w:rPr>
          <w:rFonts w:ascii="Times New Roman" w:hAnsi="Times New Roman"/>
          <w:b w:val="0"/>
          <w:i w:val="0"/>
          <w:sz w:val="23"/>
        </w:rPr>
        <w:t>Save the file.</w:t>
      </w:r>
    </w:p>
    <w:tbl>
      <w:tblPr>
        <w:tblW w:type="auto" w:w="0"/>
        <w:jc w:val="left"/>
        <w:tblLook w:firstColumn="1" w:firstRow="1" w:lastColumn="0" w:lastRow="0" w:noHBand="0" w:noVBand="1" w:val="04A0"/>
      </w:tblPr>
      <w:tblGrid>
        <w:gridCol w:w="9936"/>
      </w:tblGrid>
      <w:tr>
        <w:tc>
          <w:tcPr>
            <w:tcW w:type="dxa" w:w="9936"/>
            <w:shd w:fill="EAF2F8"/>
            <w:tcMar>
              <w:top w:w="80" w:type="dxa"/>
              <w:start w:w="100" w:type="dxa"/>
              <w:bottom w:w="80" w:type="dxa"/>
              <w:end w:w="100" w:type="dxa"/>
            </w:tcMar>
          </w:tcPr>
          <w:p>
            <w:r>
              <w:rPr>
                <w:rFonts w:ascii="Times New Roman" w:hAnsi="Times New Roman"/>
                <w:b/>
                <w:i w:val="0"/>
                <w:sz w:val="22"/>
              </w:rPr>
              <w:t xml:space="preserve">Teaching point: </w:t>
            </w:r>
            <w:r>
              <w:rPr>
                <w:rFonts w:ascii="Times New Roman" w:hAnsi="Times New Roman"/>
                <w:b w:val="0"/>
                <w:i w:val="0"/>
                <w:sz w:val="22"/>
              </w:rPr>
              <w:t>The Home page gives developers the minimum information needed to understand what the service is, who owns it, and where to go next.</w:t>
            </w:r>
          </w:p>
        </w:tc>
      </w:tr>
    </w:tbl>
    <w:p>
      <w:pPr>
        <w:spacing w:after="20"/>
      </w:pPr>
    </w:p>
    <w:p>
      <w:pPr>
        <w:pStyle w:val="Heading1"/>
        <w:keepNext/>
      </w:pPr>
      <w:r>
        <w:t>Step 4 – Create the Getting Started Page</w:t>
      </w:r>
    </w:p>
    <w:tbl>
      <w:tblPr>
        <w:tblW w:type="auto" w:w="0"/>
        <w:jc w:val="left"/>
        <w:tblLayout w:type="autofit"/>
        <w:tblLook w:firstColumn="1" w:firstRow="1" w:lastColumn="0" w:lastRow="0" w:noHBand="0" w:noVBand="1" w:val="04A0"/>
      </w:tblPr>
      <w:tblGrid>
        <w:gridCol w:w="9936"/>
      </w:tblGrid>
      <w:tr>
        <w:tc>
          <w:tcPr>
            <w:tcW w:type="dxa" w:w="9936"/>
            <w:shd w:fill="F3F5F7"/>
            <w:tcMar>
              <w:top w:w="80" w:type="dxa"/>
              <w:start w:w="100" w:type="dxa"/>
              <w:bottom w:w="80" w:type="dxa"/>
              <w:end w:w="100" w:type="dxa"/>
            </w:tcMar>
          </w:tcPr>
          <w:p>
            <w:pPr>
              <w:pStyle w:val="CodeBlock"/>
              <w:keepLines/>
            </w:pPr>
            <w:r/>
            <w:r>
              <w:rPr>
                <w:rFonts w:ascii="Courier New" w:hAnsi="Courier New"/>
                <w:b w:val="0"/>
                <w:i w:val="0"/>
                <w:sz w:val="18"/>
              </w:rPr>
              <w:t>nano docs/getting-started.md</w:t>
            </w:r>
          </w:p>
        </w:tc>
      </w:tr>
    </w:tbl>
    <w:p>
      <w:pPr>
        <w:spacing w:after="20"/>
      </w:pPr>
    </w:p>
    <w:tbl>
      <w:tblPr>
        <w:tblW w:type="auto" w:w="0"/>
        <w:jc w:val="left"/>
        <w:tblLayout w:type="autofit"/>
        <w:tblLook w:firstColumn="1" w:firstRow="1" w:lastColumn="0" w:lastRow="0" w:noHBand="0" w:noVBand="1" w:val="04A0"/>
      </w:tblPr>
      <w:tblGrid>
        <w:gridCol w:w="9936"/>
      </w:tblGrid>
      <w:tr>
        <w:tc>
          <w:tcPr>
            <w:tcW w:type="dxa" w:w="9936"/>
            <w:shd w:fill="F3F5F7"/>
            <w:tcMar>
              <w:top w:w="80" w:type="dxa"/>
              <w:start w:w="100" w:type="dxa"/>
              <w:bottom w:w="80" w:type="dxa"/>
              <w:end w:w="100" w:type="dxa"/>
            </w:tcMar>
          </w:tcPr>
          <w:p>
            <w:pPr>
              <w:pStyle w:val="CodeBlock"/>
              <w:keepLines/>
            </w:pPr>
            <w:r/>
            <w:r>
              <w:rPr>
                <w:rFonts w:ascii="Courier New" w:hAnsi="Courier New"/>
                <w:b w:val="0"/>
                <w:i w:val="0"/>
                <w:sz w:val="18"/>
              </w:rPr>
              <w:t># Getting Started</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 Purpose</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Use this page when onboarding a developer to `${{ values.service_name }}`.</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 Prerequisites</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 Access to the service repository</w:t>
            </w:r>
          </w:p>
          <w:p>
            <w:pPr>
              <w:pStyle w:val="CodeBlock"/>
              <w:keepLines/>
            </w:pPr>
            <w:r>
              <w:rPr>
                <w:rFonts w:ascii="Courier New" w:hAnsi="Courier New"/>
                <w:b w:val="0"/>
                <w:i w:val="0"/>
                <w:sz w:val="18"/>
              </w:rPr>
              <w:t>- Access to the team development environment</w:t>
            </w:r>
          </w:p>
          <w:p>
            <w:pPr>
              <w:pStyle w:val="CodeBlock"/>
              <w:keepLines/>
            </w:pPr>
            <w:r>
              <w:rPr>
                <w:rFonts w:ascii="Courier New" w:hAnsi="Courier New"/>
                <w:b w:val="0"/>
                <w:i w:val="0"/>
                <w:sz w:val="18"/>
              </w:rPr>
              <w:t>- Docker, if the service is run locally as a container</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 Quick Verification</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After the service is running, verify the health endpoint:</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```bash</w:t>
            </w:r>
          </w:p>
          <w:p>
            <w:pPr>
              <w:pStyle w:val="CodeBlock"/>
              <w:keepLines/>
            </w:pPr>
            <w:r>
              <w:rPr>
                <w:rFonts w:ascii="Courier New" w:hAnsi="Courier New"/>
                <w:b w:val="0"/>
                <w:i w:val="0"/>
                <w:sz w:val="18"/>
              </w:rPr>
              <w:t>curl http://localhost:${{ values.port }}/health</w:t>
            </w:r>
          </w:p>
          <w:p>
            <w:pPr>
              <w:pStyle w:val="CodeBlock"/>
              <w:keepLines/>
            </w:pPr>
            <w:r>
              <w:rPr>
                <w:rFonts w:ascii="Courier New" w:hAnsi="Courier New"/>
                <w:b w:val="0"/>
                <w:i w:val="0"/>
                <w:sz w:val="18"/>
              </w:rPr>
              <w:t>```</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Verify that the metrics endpoint is reachable:</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```bash</w:t>
            </w:r>
          </w:p>
          <w:p>
            <w:pPr>
              <w:pStyle w:val="CodeBlock"/>
              <w:keepLines/>
            </w:pPr>
            <w:r>
              <w:rPr>
                <w:rFonts w:ascii="Courier New" w:hAnsi="Courier New"/>
                <w:b w:val="0"/>
                <w:i w:val="0"/>
                <w:sz w:val="18"/>
              </w:rPr>
              <w:t>curl http://localhost:${{ values.port }}/metrics</w:t>
            </w:r>
          </w:p>
          <w:p>
            <w:pPr>
              <w:pStyle w:val="CodeBlock"/>
              <w:keepLines/>
            </w:pPr>
            <w:r>
              <w:rPr>
                <w:rFonts w:ascii="Courier New" w:hAnsi="Courier New"/>
                <w:b w:val="0"/>
                <w:i w:val="0"/>
                <w:sz w:val="18"/>
              </w:rPr>
              <w:t>```</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 First-Day Checklist</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1. Read the Architecture page.</w:t>
            </w:r>
          </w:p>
          <w:p>
            <w:pPr>
              <w:pStyle w:val="CodeBlock"/>
              <w:keepLines/>
            </w:pPr>
            <w:r>
              <w:rPr>
                <w:rFonts w:ascii="Courier New" w:hAnsi="Courier New"/>
                <w:b w:val="0"/>
                <w:i w:val="0"/>
                <w:sz w:val="18"/>
              </w:rPr>
              <w:t>2. Review the API &amp; Endpoints page.</w:t>
            </w:r>
          </w:p>
          <w:p>
            <w:pPr>
              <w:pStyle w:val="CodeBlock"/>
              <w:keepLines/>
            </w:pPr>
            <w:r>
              <w:rPr>
                <w:rFonts w:ascii="Courier New" w:hAnsi="Courier New"/>
                <w:b w:val="0"/>
                <w:i w:val="0"/>
                <w:sz w:val="18"/>
              </w:rPr>
              <w:t>3. Confirm the owning team.</w:t>
            </w:r>
          </w:p>
          <w:p>
            <w:pPr>
              <w:pStyle w:val="CodeBlock"/>
              <w:keepLines/>
            </w:pPr>
            <w:r>
              <w:rPr>
                <w:rFonts w:ascii="Courier New" w:hAnsi="Courier New"/>
                <w:b w:val="0"/>
                <w:i w:val="0"/>
                <w:sz w:val="18"/>
              </w:rPr>
              <w:t>4. Review the Operations and Troubleshooting pages before making production changes.</w:t>
            </w:r>
          </w:p>
        </w:tc>
      </w:tr>
    </w:tbl>
    <w:p>
      <w:pPr>
        <w:spacing w:after="20"/>
      </w:pPr>
    </w:p>
    <w:p>
      <w:pPr>
        <w:pStyle w:val="Heading1"/>
        <w:keepNext/>
      </w:pPr>
      <w:r>
        <w:t>Step 5 – Create the Architecture Page</w:t>
      </w:r>
    </w:p>
    <w:tbl>
      <w:tblPr>
        <w:tblW w:type="auto" w:w="0"/>
        <w:jc w:val="left"/>
        <w:tblLayout w:type="autofit"/>
        <w:tblLook w:firstColumn="1" w:firstRow="1" w:lastColumn="0" w:lastRow="0" w:noHBand="0" w:noVBand="1" w:val="04A0"/>
      </w:tblPr>
      <w:tblGrid>
        <w:gridCol w:w="9936"/>
      </w:tblGrid>
      <w:tr>
        <w:tc>
          <w:tcPr>
            <w:tcW w:type="dxa" w:w="9936"/>
            <w:shd w:fill="F3F5F7"/>
            <w:tcMar>
              <w:top w:w="80" w:type="dxa"/>
              <w:start w:w="100" w:type="dxa"/>
              <w:bottom w:w="80" w:type="dxa"/>
              <w:end w:w="100" w:type="dxa"/>
            </w:tcMar>
          </w:tcPr>
          <w:p>
            <w:pPr>
              <w:pStyle w:val="CodeBlock"/>
              <w:keepLines/>
            </w:pPr>
            <w:r/>
            <w:r>
              <w:rPr>
                <w:rFonts w:ascii="Courier New" w:hAnsi="Courier New"/>
                <w:b w:val="0"/>
                <w:i w:val="0"/>
                <w:sz w:val="18"/>
              </w:rPr>
              <w:t>nano docs/architecture.md</w:t>
            </w:r>
          </w:p>
        </w:tc>
      </w:tr>
    </w:tbl>
    <w:p>
      <w:pPr>
        <w:spacing w:after="20"/>
      </w:pPr>
    </w:p>
    <w:tbl>
      <w:tblPr>
        <w:tblW w:type="auto" w:w="0"/>
        <w:jc w:val="left"/>
        <w:tblLayout w:type="autofit"/>
        <w:tblLook w:firstColumn="1" w:firstRow="1" w:lastColumn="0" w:lastRow="0" w:noHBand="0" w:noVBand="1" w:val="04A0"/>
      </w:tblPr>
      <w:tblGrid>
        <w:gridCol w:w="9936"/>
      </w:tblGrid>
      <w:tr>
        <w:tc>
          <w:tcPr>
            <w:tcW w:type="dxa" w:w="9936"/>
            <w:shd w:fill="F3F5F7"/>
            <w:tcMar>
              <w:top w:w="80" w:type="dxa"/>
              <w:start w:w="100" w:type="dxa"/>
              <w:bottom w:w="80" w:type="dxa"/>
              <w:end w:w="100" w:type="dxa"/>
            </w:tcMar>
          </w:tcPr>
          <w:p>
            <w:pPr>
              <w:pStyle w:val="CodeBlock"/>
              <w:keepLines/>
            </w:pPr>
            <w:r/>
            <w:r>
              <w:rPr>
                <w:rFonts w:ascii="Courier New" w:hAnsi="Courier New"/>
                <w:b w:val="0"/>
                <w:i w:val="0"/>
                <w:sz w:val="18"/>
              </w:rPr>
              <w:t># Architecture</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 Context</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 values.service_name }}` is a platform-generated microservice owned by</w:t>
            </w:r>
          </w:p>
          <w:p>
            <w:pPr>
              <w:pStyle w:val="CodeBlock"/>
              <w:keepLines/>
            </w:pPr>
            <w:r>
              <w:rPr>
                <w:rFonts w:ascii="Courier New" w:hAnsi="Courier New"/>
                <w:b w:val="0"/>
                <w:i w:val="0"/>
                <w:sz w:val="18"/>
              </w:rPr>
              <w:t>`${{ values.owner }}`.</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 Runtime View</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```text</w:t>
            </w:r>
          </w:p>
          <w:p>
            <w:pPr>
              <w:pStyle w:val="CodeBlock"/>
              <w:keepLines/>
            </w:pPr>
            <w:r>
              <w:rPr>
                <w:rFonts w:ascii="Courier New" w:hAnsi="Courier New"/>
                <w:b w:val="0"/>
                <w:i w:val="0"/>
                <w:sz w:val="18"/>
              </w:rPr>
              <w:t>Client / Upstream Service</w:t>
            </w:r>
          </w:p>
          <w:p>
            <w:pPr>
              <w:pStyle w:val="CodeBlock"/>
              <w:keepLines/>
            </w:pPr>
            <w:r>
              <w:rPr>
                <w:rFonts w:ascii="Courier New" w:hAnsi="Courier New"/>
                <w:b w:val="0"/>
                <w:i w:val="0"/>
                <w:sz w:val="18"/>
              </w:rPr>
              <w:t xml:space="preserve">          |</w:t>
            </w:r>
          </w:p>
          <w:p>
            <w:pPr>
              <w:pStyle w:val="CodeBlock"/>
              <w:keepLines/>
            </w:pPr>
            <w:r>
              <w:rPr>
                <w:rFonts w:ascii="Courier New" w:hAnsi="Courier New"/>
                <w:b w:val="0"/>
                <w:i w:val="0"/>
                <w:sz w:val="18"/>
              </w:rPr>
              <w:t xml:space="preserve">          v</w:t>
            </w:r>
          </w:p>
          <w:p>
            <w:pPr>
              <w:pStyle w:val="CodeBlock"/>
              <w:keepLines/>
            </w:pPr>
            <w:r>
              <w:rPr>
                <w:rFonts w:ascii="Courier New" w:hAnsi="Courier New"/>
                <w:b w:val="0"/>
                <w:i w:val="0"/>
                <w:sz w:val="18"/>
              </w:rPr>
              <w:t>${{ values.service_name }} : ${{ values.port }}</w:t>
            </w:r>
          </w:p>
          <w:p>
            <w:pPr>
              <w:pStyle w:val="CodeBlock"/>
              <w:keepLines/>
            </w:pPr>
            <w:r>
              <w:rPr>
                <w:rFonts w:ascii="Courier New" w:hAnsi="Courier New"/>
                <w:b w:val="0"/>
                <w:i w:val="0"/>
                <w:sz w:val="18"/>
              </w:rPr>
              <w:t xml:space="preserve">          |</w:t>
            </w:r>
          </w:p>
          <w:p>
            <w:pPr>
              <w:pStyle w:val="CodeBlock"/>
              <w:keepLines/>
            </w:pPr>
            <w:r>
              <w:rPr>
                <w:rFonts w:ascii="Courier New" w:hAnsi="Courier New"/>
                <w:b w:val="0"/>
                <w:i w:val="0"/>
                <w:sz w:val="18"/>
              </w:rPr>
              <w:t xml:space="preserve">          +--&gt; /health   - service health</w:t>
            </w:r>
          </w:p>
          <w:p>
            <w:pPr>
              <w:pStyle w:val="CodeBlock"/>
              <w:keepLines/>
            </w:pPr>
            <w:r>
              <w:rPr>
                <w:rFonts w:ascii="Courier New" w:hAnsi="Courier New"/>
                <w:b w:val="0"/>
                <w:i w:val="0"/>
                <w:sz w:val="18"/>
              </w:rPr>
              <w:t xml:space="preserve">          +--&gt; /metrics  - service metrics</w:t>
            </w:r>
          </w:p>
          <w:p>
            <w:pPr>
              <w:pStyle w:val="CodeBlock"/>
              <w:keepLines/>
            </w:pPr>
            <w:r>
              <w:rPr>
                <w:rFonts w:ascii="Courier New" w:hAnsi="Courier New"/>
                <w:b w:val="0"/>
                <w:i w:val="0"/>
                <w:sz w:val="18"/>
              </w:rPr>
              <w:t>```</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 Platform Responsibilities</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The Golden Path provides:</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 Standard repository structure</w:t>
            </w:r>
          </w:p>
          <w:p>
            <w:pPr>
              <w:pStyle w:val="CodeBlock"/>
              <w:keepLines/>
            </w:pPr>
            <w:r>
              <w:rPr>
                <w:rFonts w:ascii="Courier New" w:hAnsi="Courier New"/>
                <w:b w:val="0"/>
                <w:i w:val="0"/>
                <w:sz w:val="18"/>
              </w:rPr>
              <w:t>- Catalog metadata</w:t>
            </w:r>
          </w:p>
          <w:p>
            <w:pPr>
              <w:pStyle w:val="CodeBlock"/>
              <w:keepLines/>
            </w:pPr>
            <w:r>
              <w:rPr>
                <w:rFonts w:ascii="Courier New" w:hAnsi="Courier New"/>
                <w:b w:val="0"/>
                <w:i w:val="0"/>
                <w:sz w:val="18"/>
              </w:rPr>
              <w:t>- Containerization baseline</w:t>
            </w:r>
          </w:p>
          <w:p>
            <w:pPr>
              <w:pStyle w:val="CodeBlock"/>
              <w:keepLines/>
            </w:pPr>
            <w:r>
              <w:rPr>
                <w:rFonts w:ascii="Courier New" w:hAnsi="Courier New"/>
                <w:b w:val="0"/>
                <w:i w:val="0"/>
                <w:sz w:val="18"/>
              </w:rPr>
              <w:t>- Documentation structure</w:t>
            </w:r>
          </w:p>
          <w:p>
            <w:pPr>
              <w:pStyle w:val="CodeBlock"/>
              <w:keepLines/>
            </w:pPr>
            <w:r>
              <w:rPr>
                <w:rFonts w:ascii="Courier New" w:hAnsi="Courier New"/>
                <w:b w:val="0"/>
                <w:i w:val="0"/>
                <w:sz w:val="18"/>
              </w:rPr>
              <w:t>- Health and metrics conventions</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 Team Responsibilities</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The service team should keep this page current when it adds:</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 Databases</w:t>
            </w:r>
          </w:p>
          <w:p>
            <w:pPr>
              <w:pStyle w:val="CodeBlock"/>
              <w:keepLines/>
            </w:pPr>
            <w:r>
              <w:rPr>
                <w:rFonts w:ascii="Courier New" w:hAnsi="Courier New"/>
                <w:b w:val="0"/>
                <w:i w:val="0"/>
                <w:sz w:val="18"/>
              </w:rPr>
              <w:t>- Queues or event streams</w:t>
            </w:r>
          </w:p>
          <w:p>
            <w:pPr>
              <w:pStyle w:val="CodeBlock"/>
              <w:keepLines/>
            </w:pPr>
            <w:r>
              <w:rPr>
                <w:rFonts w:ascii="Courier New" w:hAnsi="Courier New"/>
                <w:b w:val="0"/>
                <w:i w:val="0"/>
                <w:sz w:val="18"/>
              </w:rPr>
              <w:t>- External APIs</w:t>
            </w:r>
          </w:p>
          <w:p>
            <w:pPr>
              <w:pStyle w:val="CodeBlock"/>
              <w:keepLines/>
            </w:pPr>
            <w:r>
              <w:rPr>
                <w:rFonts w:ascii="Courier New" w:hAnsi="Courier New"/>
                <w:b w:val="0"/>
                <w:i w:val="0"/>
                <w:sz w:val="18"/>
              </w:rPr>
              <w:t>- Caches</w:t>
            </w:r>
          </w:p>
          <w:p>
            <w:pPr>
              <w:pStyle w:val="CodeBlock"/>
              <w:keepLines/>
            </w:pPr>
            <w:r>
              <w:rPr>
                <w:rFonts w:ascii="Courier New" w:hAnsi="Courier New"/>
                <w:b w:val="0"/>
                <w:i w:val="0"/>
                <w:sz w:val="18"/>
              </w:rPr>
              <w:t>- Scheduled jobs</w:t>
            </w:r>
          </w:p>
          <w:p>
            <w:pPr>
              <w:pStyle w:val="CodeBlock"/>
              <w:keepLines/>
            </w:pPr>
            <w:r>
              <w:rPr>
                <w:rFonts w:ascii="Courier New" w:hAnsi="Courier New"/>
                <w:b w:val="0"/>
                <w:i w:val="0"/>
                <w:sz w:val="18"/>
              </w:rPr>
              <w:t>- New runtime dependencies</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 Architecture Decision Guidance</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When a significant design choice is introduced, link the decision record or</w:t>
            </w:r>
          </w:p>
          <w:p>
            <w:pPr>
              <w:pStyle w:val="CodeBlock"/>
              <w:keepLines/>
            </w:pPr>
            <w:r>
              <w:rPr>
                <w:rFonts w:ascii="Courier New" w:hAnsi="Courier New"/>
                <w:b w:val="0"/>
                <w:i w:val="0"/>
                <w:sz w:val="18"/>
              </w:rPr>
              <w:t>architecture note from this page so future maintainers can understand why the</w:t>
            </w:r>
          </w:p>
          <w:p>
            <w:pPr>
              <w:pStyle w:val="CodeBlock"/>
              <w:keepLines/>
            </w:pPr>
            <w:r>
              <w:rPr>
                <w:rFonts w:ascii="Courier New" w:hAnsi="Courier New"/>
                <w:b w:val="0"/>
                <w:i w:val="0"/>
                <w:sz w:val="18"/>
              </w:rPr>
              <w:t>system was designed that way.</w:t>
            </w:r>
          </w:p>
        </w:tc>
      </w:tr>
    </w:tbl>
    <w:p>
      <w:pPr>
        <w:spacing w:after="20"/>
      </w:pPr>
    </w:p>
    <w:p>
      <w:pPr>
        <w:pStyle w:val="Heading1"/>
        <w:keepNext/>
      </w:pPr>
      <w:r>
        <w:t>Step 6 – Create the API &amp; Endpoints Page</w:t>
      </w:r>
    </w:p>
    <w:tbl>
      <w:tblPr>
        <w:tblW w:type="auto" w:w="0"/>
        <w:jc w:val="left"/>
        <w:tblLayout w:type="autofit"/>
        <w:tblLook w:firstColumn="1" w:firstRow="1" w:lastColumn="0" w:lastRow="0" w:noHBand="0" w:noVBand="1" w:val="04A0"/>
      </w:tblPr>
      <w:tblGrid>
        <w:gridCol w:w="9936"/>
      </w:tblGrid>
      <w:tr>
        <w:tc>
          <w:tcPr>
            <w:tcW w:type="dxa" w:w="9936"/>
            <w:shd w:fill="F3F5F7"/>
            <w:tcMar>
              <w:top w:w="80" w:type="dxa"/>
              <w:start w:w="100" w:type="dxa"/>
              <w:bottom w:w="80" w:type="dxa"/>
              <w:end w:w="100" w:type="dxa"/>
            </w:tcMar>
          </w:tcPr>
          <w:p>
            <w:pPr>
              <w:pStyle w:val="CodeBlock"/>
              <w:keepLines/>
            </w:pPr>
            <w:r/>
            <w:r>
              <w:rPr>
                <w:rFonts w:ascii="Courier New" w:hAnsi="Courier New"/>
                <w:b w:val="0"/>
                <w:i w:val="0"/>
                <w:sz w:val="18"/>
              </w:rPr>
              <w:t>nano docs/api.md</w:t>
            </w:r>
          </w:p>
        </w:tc>
      </w:tr>
    </w:tbl>
    <w:p>
      <w:pPr>
        <w:spacing w:after="20"/>
      </w:pPr>
    </w:p>
    <w:tbl>
      <w:tblPr>
        <w:tblW w:type="auto" w:w="0"/>
        <w:jc w:val="left"/>
        <w:tblLayout w:type="autofit"/>
        <w:tblLook w:firstColumn="1" w:firstRow="1" w:lastColumn="0" w:lastRow="0" w:noHBand="0" w:noVBand="1" w:val="04A0"/>
      </w:tblPr>
      <w:tblGrid>
        <w:gridCol w:w="9936"/>
      </w:tblGrid>
      <w:tr>
        <w:tc>
          <w:tcPr>
            <w:tcW w:type="dxa" w:w="9936"/>
            <w:shd w:fill="F3F5F7"/>
            <w:tcMar>
              <w:top w:w="80" w:type="dxa"/>
              <w:start w:w="100" w:type="dxa"/>
              <w:bottom w:w="80" w:type="dxa"/>
              <w:end w:w="100" w:type="dxa"/>
            </w:tcMar>
          </w:tcPr>
          <w:p>
            <w:pPr>
              <w:pStyle w:val="CodeBlock"/>
              <w:keepLines/>
            </w:pPr>
            <w:r/>
            <w:r>
              <w:rPr>
                <w:rFonts w:ascii="Courier New" w:hAnsi="Courier New"/>
                <w:b w:val="0"/>
                <w:i w:val="0"/>
                <w:sz w:val="18"/>
              </w:rPr>
              <w:t># API &amp; Endpoints</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 Standard Platform Endpoints</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 Endpoint | Purpose | Expected Use |</w:t>
            </w:r>
          </w:p>
          <w:p>
            <w:pPr>
              <w:pStyle w:val="CodeBlock"/>
              <w:keepLines/>
            </w:pPr>
            <w:r>
              <w:rPr>
                <w:rFonts w:ascii="Courier New" w:hAnsi="Courier New"/>
                <w:b w:val="0"/>
                <w:i w:val="0"/>
                <w:sz w:val="18"/>
              </w:rPr>
              <w:t>|---|---|---|</w:t>
            </w:r>
          </w:p>
          <w:p>
            <w:pPr>
              <w:pStyle w:val="CodeBlock"/>
              <w:keepLines/>
            </w:pPr>
            <w:r>
              <w:rPr>
                <w:rFonts w:ascii="Courier New" w:hAnsi="Courier New"/>
                <w:b w:val="0"/>
                <w:i w:val="0"/>
                <w:sz w:val="18"/>
              </w:rPr>
              <w:t>| `/health` | Service health | Availability checks and diagnostics |</w:t>
            </w:r>
          </w:p>
          <w:p>
            <w:pPr>
              <w:pStyle w:val="CodeBlock"/>
              <w:keepLines/>
            </w:pPr>
            <w:r>
              <w:rPr>
                <w:rFonts w:ascii="Courier New" w:hAnsi="Courier New"/>
                <w:b w:val="0"/>
                <w:i w:val="0"/>
                <w:sz w:val="18"/>
              </w:rPr>
              <w:t>| `/metrics` | Service metrics | Observability and monitoring |</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 Business Endpoints</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Document service-specific APIs here as they are implemented.</w:t>
            </w:r>
          </w:p>
          <w:p>
            <w:pPr>
              <w:pStyle w:val="CodeBlock"/>
              <w:keepLines/>
            </w:pPr>
            <w:r>
              <w:rPr>
                <w:rFonts w:ascii="Courier New" w:hAnsi="Courier New"/>
                <w:b w:val="0"/>
                <w:i w:val="0"/>
                <w:sz w:val="18"/>
              </w:rPr>
              <w:t>For each endpoint include:</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 HTTP method and path</w:t>
            </w:r>
          </w:p>
          <w:p>
            <w:pPr>
              <w:pStyle w:val="CodeBlock"/>
              <w:keepLines/>
            </w:pPr>
            <w:r>
              <w:rPr>
                <w:rFonts w:ascii="Courier New" w:hAnsi="Courier New"/>
                <w:b w:val="0"/>
                <w:i w:val="0"/>
                <w:sz w:val="18"/>
              </w:rPr>
              <w:t>- Request example</w:t>
            </w:r>
          </w:p>
          <w:p>
            <w:pPr>
              <w:pStyle w:val="CodeBlock"/>
              <w:keepLines/>
            </w:pPr>
            <w:r>
              <w:rPr>
                <w:rFonts w:ascii="Courier New" w:hAnsi="Courier New"/>
                <w:b w:val="0"/>
                <w:i w:val="0"/>
                <w:sz w:val="18"/>
              </w:rPr>
              <w:t>- Response example</w:t>
            </w:r>
          </w:p>
          <w:p>
            <w:pPr>
              <w:pStyle w:val="CodeBlock"/>
              <w:keepLines/>
            </w:pPr>
            <w:r>
              <w:rPr>
                <w:rFonts w:ascii="Courier New" w:hAnsi="Courier New"/>
                <w:b w:val="0"/>
                <w:i w:val="0"/>
                <w:sz w:val="18"/>
              </w:rPr>
              <w:t>- Authentication requirements</w:t>
            </w:r>
          </w:p>
          <w:p>
            <w:pPr>
              <w:pStyle w:val="CodeBlock"/>
              <w:keepLines/>
            </w:pPr>
            <w:r>
              <w:rPr>
                <w:rFonts w:ascii="Courier New" w:hAnsi="Courier New"/>
                <w:b w:val="0"/>
                <w:i w:val="0"/>
                <w:sz w:val="18"/>
              </w:rPr>
              <w:t>- Error conditions</w:t>
            </w:r>
          </w:p>
          <w:p>
            <w:pPr>
              <w:pStyle w:val="CodeBlock"/>
              <w:keepLines/>
            </w:pPr>
            <w:r>
              <w:rPr>
                <w:rFonts w:ascii="Courier New" w:hAnsi="Courier New"/>
                <w:b w:val="0"/>
                <w:i w:val="0"/>
                <w:sz w:val="18"/>
              </w:rPr>
              <w:t>- Owning team or escalation path</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 Example</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```text</w:t>
            </w:r>
          </w:p>
          <w:p>
            <w:pPr>
              <w:pStyle w:val="CodeBlock"/>
              <w:keepLines/>
            </w:pPr>
            <w:r>
              <w:rPr>
                <w:rFonts w:ascii="Courier New" w:hAnsi="Courier New"/>
                <w:b w:val="0"/>
                <w:i w:val="0"/>
                <w:sz w:val="18"/>
              </w:rPr>
              <w:t>GET /health</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Purpose: Confirm that the service process is healthy.</w:t>
            </w:r>
          </w:p>
          <w:p>
            <w:pPr>
              <w:pStyle w:val="CodeBlock"/>
              <w:keepLines/>
            </w:pPr>
            <w:r>
              <w:rPr>
                <w:rFonts w:ascii="Courier New" w:hAnsi="Courier New"/>
                <w:b w:val="0"/>
                <w:i w:val="0"/>
                <w:sz w:val="18"/>
              </w:rPr>
              <w:t>```</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&gt; Keep this page synchronized with the actual service implementation.</w:t>
            </w:r>
          </w:p>
        </w:tc>
      </w:tr>
    </w:tbl>
    <w:p>
      <w:pPr>
        <w:spacing w:after="20"/>
      </w:pPr>
    </w:p>
    <w:p>
      <w:pPr>
        <w:pStyle w:val="Heading1"/>
        <w:keepNext/>
      </w:pPr>
      <w:r>
        <w:t>Step 7 – Create the Operations Page</w:t>
      </w:r>
    </w:p>
    <w:tbl>
      <w:tblPr>
        <w:tblW w:type="auto" w:w="0"/>
        <w:jc w:val="left"/>
        <w:tblLayout w:type="autofit"/>
        <w:tblLook w:firstColumn="1" w:firstRow="1" w:lastColumn="0" w:lastRow="0" w:noHBand="0" w:noVBand="1" w:val="04A0"/>
      </w:tblPr>
      <w:tblGrid>
        <w:gridCol w:w="9936"/>
      </w:tblGrid>
      <w:tr>
        <w:tc>
          <w:tcPr>
            <w:tcW w:type="dxa" w:w="9936"/>
            <w:shd w:fill="F3F5F7"/>
            <w:tcMar>
              <w:top w:w="80" w:type="dxa"/>
              <w:start w:w="100" w:type="dxa"/>
              <w:bottom w:w="80" w:type="dxa"/>
              <w:end w:w="100" w:type="dxa"/>
            </w:tcMar>
          </w:tcPr>
          <w:p>
            <w:pPr>
              <w:pStyle w:val="CodeBlock"/>
              <w:keepLines/>
            </w:pPr>
            <w:r/>
            <w:r>
              <w:rPr>
                <w:rFonts w:ascii="Courier New" w:hAnsi="Courier New"/>
                <w:b w:val="0"/>
                <w:i w:val="0"/>
                <w:sz w:val="18"/>
              </w:rPr>
              <w:t>nano docs/operations.md</w:t>
            </w:r>
          </w:p>
        </w:tc>
      </w:tr>
    </w:tbl>
    <w:p>
      <w:pPr>
        <w:spacing w:after="20"/>
      </w:pPr>
    </w:p>
    <w:tbl>
      <w:tblPr>
        <w:tblW w:type="auto" w:w="0"/>
        <w:jc w:val="left"/>
        <w:tblLayout w:type="autofit"/>
        <w:tblLook w:firstColumn="1" w:firstRow="1" w:lastColumn="0" w:lastRow="0" w:noHBand="0" w:noVBand="1" w:val="04A0"/>
      </w:tblPr>
      <w:tblGrid>
        <w:gridCol w:w="9936"/>
      </w:tblGrid>
      <w:tr>
        <w:tc>
          <w:tcPr>
            <w:tcW w:type="dxa" w:w="9936"/>
            <w:shd w:fill="F3F5F7"/>
            <w:tcMar>
              <w:top w:w="80" w:type="dxa"/>
              <w:start w:w="100" w:type="dxa"/>
              <w:bottom w:w="80" w:type="dxa"/>
              <w:end w:w="100" w:type="dxa"/>
            </w:tcMar>
          </w:tcPr>
          <w:p>
            <w:pPr>
              <w:pStyle w:val="CodeBlock"/>
              <w:keepLines/>
            </w:pPr>
            <w:r/>
            <w:r>
              <w:rPr>
                <w:rFonts w:ascii="Courier New" w:hAnsi="Courier New"/>
                <w:b w:val="0"/>
                <w:i w:val="0"/>
                <w:sz w:val="18"/>
              </w:rPr>
              <w:t># Operations</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 Service Details</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 **Service:** `${{ values.service_name }}`</w:t>
            </w:r>
          </w:p>
          <w:p>
            <w:pPr>
              <w:pStyle w:val="CodeBlock"/>
              <w:keepLines/>
            </w:pPr>
            <w:r>
              <w:rPr>
                <w:rFonts w:ascii="Courier New" w:hAnsi="Courier New"/>
                <w:b w:val="0"/>
                <w:i w:val="0"/>
                <w:sz w:val="18"/>
              </w:rPr>
              <w:t>- **Owner:** `${{ values.owner }}`</w:t>
            </w:r>
          </w:p>
          <w:p>
            <w:pPr>
              <w:pStyle w:val="CodeBlock"/>
              <w:keepLines/>
            </w:pPr>
            <w:r>
              <w:rPr>
                <w:rFonts w:ascii="Courier New" w:hAnsi="Courier New"/>
                <w:b w:val="0"/>
                <w:i w:val="0"/>
                <w:sz w:val="18"/>
              </w:rPr>
              <w:t>- **Port:** `${{ values.port }}`</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 Health Verification</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```bash</w:t>
            </w:r>
          </w:p>
          <w:p>
            <w:pPr>
              <w:pStyle w:val="CodeBlock"/>
              <w:keepLines/>
            </w:pPr>
            <w:r>
              <w:rPr>
                <w:rFonts w:ascii="Courier New" w:hAnsi="Courier New"/>
                <w:b w:val="0"/>
                <w:i w:val="0"/>
                <w:sz w:val="18"/>
              </w:rPr>
              <w:t>curl http://localhost:${{ values.port }}/health</w:t>
            </w:r>
          </w:p>
          <w:p>
            <w:pPr>
              <w:pStyle w:val="CodeBlock"/>
              <w:keepLines/>
            </w:pPr>
            <w:r>
              <w:rPr>
                <w:rFonts w:ascii="Courier New" w:hAnsi="Courier New"/>
                <w:b w:val="0"/>
                <w:i w:val="0"/>
                <w:sz w:val="18"/>
              </w:rPr>
              <w:t>```</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 Metrics Verification</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```bash</w:t>
            </w:r>
          </w:p>
          <w:p>
            <w:pPr>
              <w:pStyle w:val="CodeBlock"/>
              <w:keepLines/>
            </w:pPr>
            <w:r>
              <w:rPr>
                <w:rFonts w:ascii="Courier New" w:hAnsi="Courier New"/>
                <w:b w:val="0"/>
                <w:i w:val="0"/>
                <w:sz w:val="18"/>
              </w:rPr>
              <w:t>curl http://localhost:${{ values.port }}/metrics</w:t>
            </w:r>
          </w:p>
          <w:p>
            <w:pPr>
              <w:pStyle w:val="CodeBlock"/>
              <w:keepLines/>
            </w:pPr>
            <w:r>
              <w:rPr>
                <w:rFonts w:ascii="Courier New" w:hAnsi="Courier New"/>
                <w:b w:val="0"/>
                <w:i w:val="0"/>
                <w:sz w:val="18"/>
              </w:rPr>
              <w:t>```</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 Operational Checklist</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Before a release or configuration change:</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1. Confirm the service owner.</w:t>
            </w:r>
          </w:p>
          <w:p>
            <w:pPr>
              <w:pStyle w:val="CodeBlock"/>
              <w:keepLines/>
            </w:pPr>
            <w:r>
              <w:rPr>
                <w:rFonts w:ascii="Courier New" w:hAnsi="Courier New"/>
                <w:b w:val="0"/>
                <w:i w:val="0"/>
                <w:sz w:val="18"/>
              </w:rPr>
              <w:t>2. Confirm health and metrics are available.</w:t>
            </w:r>
          </w:p>
          <w:p>
            <w:pPr>
              <w:pStyle w:val="CodeBlock"/>
              <w:keepLines/>
            </w:pPr>
            <w:r>
              <w:rPr>
                <w:rFonts w:ascii="Courier New" w:hAnsi="Courier New"/>
                <w:b w:val="0"/>
                <w:i w:val="0"/>
                <w:sz w:val="18"/>
              </w:rPr>
              <w:t>3. Review the expected impact of the change.</w:t>
            </w:r>
          </w:p>
          <w:p>
            <w:pPr>
              <w:pStyle w:val="CodeBlock"/>
              <w:keepLines/>
            </w:pPr>
            <w:r>
              <w:rPr>
                <w:rFonts w:ascii="Courier New" w:hAnsi="Courier New"/>
                <w:b w:val="0"/>
                <w:i w:val="0"/>
                <w:sz w:val="18"/>
              </w:rPr>
              <w:t>4. Verify the deployment or CI/CD result.</w:t>
            </w:r>
          </w:p>
          <w:p>
            <w:pPr>
              <w:pStyle w:val="CodeBlock"/>
              <w:keepLines/>
            </w:pPr>
            <w:r>
              <w:rPr>
                <w:rFonts w:ascii="Courier New" w:hAnsi="Courier New"/>
                <w:b w:val="0"/>
                <w:i w:val="0"/>
                <w:sz w:val="18"/>
              </w:rPr>
              <w:t>5. Re-check health after the change.</w:t>
            </w:r>
          </w:p>
          <w:p>
            <w:pPr>
              <w:pStyle w:val="CodeBlock"/>
              <w:keepLines/>
            </w:pPr>
            <w:r>
              <w:rPr>
                <w:rFonts w:ascii="Courier New" w:hAnsi="Courier New"/>
                <w:b w:val="0"/>
                <w:i w:val="0"/>
                <w:sz w:val="18"/>
              </w:rPr>
              <w:t>6. Record any new operational knowledge in TechDocs.</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 Logging</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Document where application and platform logs can be found in your environment.</w:t>
            </w:r>
          </w:p>
          <w:p>
            <w:pPr>
              <w:pStyle w:val="CodeBlock"/>
              <w:keepLines/>
            </w:pPr>
            <w:r>
              <w:rPr>
                <w:rFonts w:ascii="Courier New" w:hAnsi="Courier New"/>
                <w:b w:val="0"/>
                <w:i w:val="0"/>
                <w:sz w:val="18"/>
              </w:rPr>
              <w:t>Do not place passwords, tokens, or other secrets in documentation.</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 Recovery / Rollback</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Document the service-specific rollback procedure here when the deployment</w:t>
            </w:r>
          </w:p>
          <w:p>
            <w:pPr>
              <w:pStyle w:val="CodeBlock"/>
              <w:keepLines/>
            </w:pPr>
            <w:r>
              <w:rPr>
                <w:rFonts w:ascii="Courier New" w:hAnsi="Courier New"/>
                <w:b w:val="0"/>
                <w:i w:val="0"/>
                <w:sz w:val="18"/>
              </w:rPr>
              <w:t>strategy is defined.</w:t>
            </w:r>
          </w:p>
        </w:tc>
      </w:tr>
    </w:tbl>
    <w:p>
      <w:pPr>
        <w:spacing w:after="20"/>
      </w:pPr>
    </w:p>
    <w:p>
      <w:pPr>
        <w:pStyle w:val="Heading1"/>
        <w:keepNext/>
      </w:pPr>
      <w:r>
        <w:t>Step 8 – Create the Troubleshooting Page</w:t>
      </w:r>
    </w:p>
    <w:tbl>
      <w:tblPr>
        <w:tblW w:type="auto" w:w="0"/>
        <w:jc w:val="left"/>
        <w:tblLayout w:type="autofit"/>
        <w:tblLook w:firstColumn="1" w:firstRow="1" w:lastColumn="0" w:lastRow="0" w:noHBand="0" w:noVBand="1" w:val="04A0"/>
      </w:tblPr>
      <w:tblGrid>
        <w:gridCol w:w="9936"/>
      </w:tblGrid>
      <w:tr>
        <w:tc>
          <w:tcPr>
            <w:tcW w:type="dxa" w:w="9936"/>
            <w:shd w:fill="F3F5F7"/>
            <w:tcMar>
              <w:top w:w="80" w:type="dxa"/>
              <w:start w:w="100" w:type="dxa"/>
              <w:bottom w:w="80" w:type="dxa"/>
              <w:end w:w="100" w:type="dxa"/>
            </w:tcMar>
          </w:tcPr>
          <w:p>
            <w:pPr>
              <w:pStyle w:val="CodeBlock"/>
              <w:keepLines/>
            </w:pPr>
            <w:r/>
            <w:r>
              <w:rPr>
                <w:rFonts w:ascii="Courier New" w:hAnsi="Courier New"/>
                <w:b w:val="0"/>
                <w:i w:val="0"/>
                <w:sz w:val="18"/>
              </w:rPr>
              <w:t>nano docs/troubleshooting.md</w:t>
            </w:r>
          </w:p>
        </w:tc>
      </w:tr>
    </w:tbl>
    <w:p>
      <w:pPr>
        <w:spacing w:after="20"/>
      </w:pPr>
    </w:p>
    <w:tbl>
      <w:tblPr>
        <w:tblW w:type="auto" w:w="0"/>
        <w:jc w:val="left"/>
        <w:tblLayout w:type="autofit"/>
        <w:tblLook w:firstColumn="1" w:firstRow="1" w:lastColumn="0" w:lastRow="0" w:noHBand="0" w:noVBand="1" w:val="04A0"/>
      </w:tblPr>
      <w:tblGrid>
        <w:gridCol w:w="9936"/>
      </w:tblGrid>
      <w:tr>
        <w:tc>
          <w:tcPr>
            <w:tcW w:type="dxa" w:w="9936"/>
            <w:shd w:fill="F3F5F7"/>
            <w:tcMar>
              <w:top w:w="80" w:type="dxa"/>
              <w:start w:w="100" w:type="dxa"/>
              <w:bottom w:w="80" w:type="dxa"/>
              <w:end w:w="100" w:type="dxa"/>
            </w:tcMar>
          </w:tcPr>
          <w:p>
            <w:pPr>
              <w:pStyle w:val="CodeBlock"/>
              <w:keepLines/>
            </w:pPr>
            <w:r/>
            <w:r>
              <w:rPr>
                <w:rFonts w:ascii="Courier New" w:hAnsi="Courier New"/>
                <w:b w:val="0"/>
                <w:i w:val="0"/>
                <w:sz w:val="18"/>
              </w:rPr>
              <w:t># Troubleshooting</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 Service Health Fails</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1. Confirm the service process/container is running.</w:t>
            </w:r>
          </w:p>
          <w:p>
            <w:pPr>
              <w:pStyle w:val="CodeBlock"/>
              <w:keepLines/>
            </w:pPr>
            <w:r>
              <w:rPr>
                <w:rFonts w:ascii="Courier New" w:hAnsi="Courier New"/>
                <w:b w:val="0"/>
                <w:i w:val="0"/>
                <w:sz w:val="18"/>
              </w:rPr>
              <w:t>2. Confirm port `${{ values.port }}` is reachable.</w:t>
            </w:r>
          </w:p>
          <w:p>
            <w:pPr>
              <w:pStyle w:val="CodeBlock"/>
              <w:keepLines/>
            </w:pPr>
            <w:r>
              <w:rPr>
                <w:rFonts w:ascii="Courier New" w:hAnsi="Courier New"/>
                <w:b w:val="0"/>
                <w:i w:val="0"/>
                <w:sz w:val="18"/>
              </w:rPr>
              <w:t>3. Check application logs.</w:t>
            </w:r>
          </w:p>
          <w:p>
            <w:pPr>
              <w:pStyle w:val="CodeBlock"/>
              <w:keepLines/>
            </w:pPr>
            <w:r>
              <w:rPr>
                <w:rFonts w:ascii="Courier New" w:hAnsi="Courier New"/>
                <w:b w:val="0"/>
                <w:i w:val="0"/>
                <w:sz w:val="18"/>
              </w:rPr>
              <w:t>4. Verify required dependencies.</w:t>
            </w:r>
          </w:p>
          <w:p>
            <w:pPr>
              <w:pStyle w:val="CodeBlock"/>
              <w:keepLines/>
            </w:pPr>
            <w:r>
              <w:rPr>
                <w:rFonts w:ascii="Courier New" w:hAnsi="Courier New"/>
                <w:b w:val="0"/>
                <w:i w:val="0"/>
                <w:sz w:val="18"/>
              </w:rPr>
              <w:t>5. Escalate to `${{ values.owner }}` if the issue persists.</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 Metrics Endpoint Fails</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1. Verify the service is healthy first.</w:t>
            </w:r>
          </w:p>
          <w:p>
            <w:pPr>
              <w:pStyle w:val="CodeBlock"/>
              <w:keepLines/>
            </w:pPr>
            <w:r>
              <w:rPr>
                <w:rFonts w:ascii="Courier New" w:hAnsi="Courier New"/>
                <w:b w:val="0"/>
                <w:i w:val="0"/>
                <w:sz w:val="18"/>
              </w:rPr>
              <w:t>2. Confirm `/metrics` is exposed by the current service version.</w:t>
            </w:r>
          </w:p>
          <w:p>
            <w:pPr>
              <w:pStyle w:val="CodeBlock"/>
              <w:keepLines/>
            </w:pPr>
            <w:r>
              <w:rPr>
                <w:rFonts w:ascii="Courier New" w:hAnsi="Courier New"/>
                <w:b w:val="0"/>
                <w:i w:val="0"/>
                <w:sz w:val="18"/>
              </w:rPr>
              <w:t>3. Check logs for startup/configuration errors.</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 Documentation Is Missing in Backstage</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Verify that the repository contains:</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```text</w:t>
            </w:r>
          </w:p>
          <w:p>
            <w:pPr>
              <w:pStyle w:val="CodeBlock"/>
              <w:keepLines/>
            </w:pPr>
            <w:r>
              <w:rPr>
                <w:rFonts w:ascii="Courier New" w:hAnsi="Courier New"/>
                <w:b w:val="0"/>
                <w:i w:val="0"/>
                <w:sz w:val="18"/>
              </w:rPr>
              <w:t>catalog-info.yaml</w:t>
            </w:r>
          </w:p>
          <w:p>
            <w:pPr>
              <w:pStyle w:val="CodeBlock"/>
              <w:keepLines/>
            </w:pPr>
            <w:r>
              <w:rPr>
                <w:rFonts w:ascii="Courier New" w:hAnsi="Courier New"/>
                <w:b w:val="0"/>
                <w:i w:val="0"/>
                <w:sz w:val="18"/>
              </w:rPr>
              <w:t>mkdocs.yml</w:t>
            </w:r>
          </w:p>
          <w:p>
            <w:pPr>
              <w:pStyle w:val="CodeBlock"/>
              <w:keepLines/>
            </w:pPr>
            <w:r>
              <w:rPr>
                <w:rFonts w:ascii="Courier New" w:hAnsi="Courier New"/>
                <w:b w:val="0"/>
                <w:i w:val="0"/>
                <w:sz w:val="18"/>
              </w:rPr>
              <w:t>docs/index.md</w:t>
            </w:r>
          </w:p>
          <w:p>
            <w:pPr>
              <w:pStyle w:val="CodeBlock"/>
              <w:keepLines/>
            </w:pPr>
            <w:r>
              <w:rPr>
                <w:rFonts w:ascii="Courier New" w:hAnsi="Courier New"/>
                <w:b w:val="0"/>
                <w:i w:val="0"/>
                <w:sz w:val="18"/>
              </w:rPr>
              <w:t>```</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Verify that `catalog-info.yaml` contains:</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```yaml</w:t>
            </w:r>
          </w:p>
          <w:p>
            <w:pPr>
              <w:pStyle w:val="CodeBlock"/>
              <w:keepLines/>
            </w:pPr>
            <w:r>
              <w:rPr>
                <w:rFonts w:ascii="Courier New" w:hAnsi="Courier New"/>
                <w:b w:val="0"/>
                <w:i w:val="0"/>
                <w:sz w:val="18"/>
              </w:rPr>
              <w:t>backstage.io/techdocs-ref: dir:.</w:t>
            </w:r>
          </w:p>
          <w:p>
            <w:pPr>
              <w:pStyle w:val="CodeBlock"/>
              <w:keepLines/>
            </w:pPr>
            <w:r>
              <w:rPr>
                <w:rFonts w:ascii="Courier New" w:hAnsi="Courier New"/>
                <w:b w:val="0"/>
                <w:i w:val="0"/>
                <w:sz w:val="18"/>
              </w:rPr>
              <w:t>```</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 TechDocs Says Docker Is Not Available</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On the Backstage host, verify:</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```bash</w:t>
            </w:r>
          </w:p>
          <w:p>
            <w:pPr>
              <w:pStyle w:val="CodeBlock"/>
              <w:keepLines/>
            </w:pPr>
            <w:r>
              <w:rPr>
                <w:rFonts w:ascii="Courier New" w:hAnsi="Courier New"/>
                <w:b w:val="0"/>
                <w:i w:val="0"/>
                <w:sz w:val="18"/>
              </w:rPr>
              <w:t>docker ps</w:t>
            </w:r>
          </w:p>
          <w:p>
            <w:pPr>
              <w:pStyle w:val="CodeBlock"/>
              <w:keepLines/>
            </w:pPr>
            <w:r>
              <w:rPr>
                <w:rFonts w:ascii="Courier New" w:hAnsi="Courier New"/>
                <w:b w:val="0"/>
                <w:i w:val="0"/>
                <w:sz w:val="18"/>
              </w:rPr>
              <w:t>```</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If the error contains `EACCES /var/run/docker.sock`, verify that the user that</w:t>
            </w:r>
          </w:p>
          <w:p>
            <w:pPr>
              <w:pStyle w:val="CodeBlock"/>
              <w:keepLines/>
            </w:pPr>
            <w:r>
              <w:rPr>
                <w:rFonts w:ascii="Courier New" w:hAnsi="Courier New"/>
                <w:b w:val="0"/>
                <w:i w:val="0"/>
                <w:sz w:val="18"/>
              </w:rPr>
              <w:t>starts Backstage belongs to the `docker` group, log out and reconnect after any</w:t>
            </w:r>
          </w:p>
          <w:p>
            <w:pPr>
              <w:pStyle w:val="CodeBlock"/>
              <w:keepLines/>
            </w:pPr>
            <w:r>
              <w:rPr>
                <w:rFonts w:ascii="Courier New" w:hAnsi="Courier New"/>
                <w:b w:val="0"/>
                <w:i w:val="0"/>
                <w:sz w:val="18"/>
              </w:rPr>
              <w:t>group change, and then restart Backstage.</w:t>
            </w:r>
          </w:p>
        </w:tc>
      </w:tr>
    </w:tbl>
    <w:p>
      <w:pPr>
        <w:spacing w:after="20"/>
      </w:pPr>
    </w:p>
    <w:p>
      <w:pPr>
        <w:pStyle w:val="Heading1"/>
        <w:keepNext/>
      </w:pPr>
      <w:r>
        <w:t>Step 9 – Create MkDocs Navigation</w:t>
      </w:r>
    </w:p>
    <w:p>
      <w:r>
        <w:rPr>
          <w:rFonts w:ascii="Times New Roman" w:hAnsi="Times New Roman"/>
          <w:b w:val="0"/>
          <w:i w:val="0"/>
          <w:sz w:val="23"/>
        </w:rPr>
        <w:t>Create or replace mkdocs.yml at the root of the template skeleton:</w:t>
      </w:r>
    </w:p>
    <w:tbl>
      <w:tblPr>
        <w:tblW w:type="auto" w:w="0"/>
        <w:jc w:val="left"/>
        <w:tblLayout w:type="autofit"/>
        <w:tblLook w:firstColumn="1" w:firstRow="1" w:lastColumn="0" w:lastRow="0" w:noHBand="0" w:noVBand="1" w:val="04A0"/>
      </w:tblPr>
      <w:tblGrid>
        <w:gridCol w:w="9936"/>
      </w:tblGrid>
      <w:tr>
        <w:tc>
          <w:tcPr>
            <w:tcW w:type="dxa" w:w="9936"/>
            <w:shd w:fill="F3F5F7"/>
            <w:tcMar>
              <w:top w:w="80" w:type="dxa"/>
              <w:start w:w="100" w:type="dxa"/>
              <w:bottom w:w="80" w:type="dxa"/>
              <w:end w:w="100" w:type="dxa"/>
            </w:tcMar>
          </w:tcPr>
          <w:p>
            <w:pPr>
              <w:pStyle w:val="CodeBlock"/>
              <w:keepLines/>
            </w:pPr>
            <w:r/>
            <w:r>
              <w:rPr>
                <w:rFonts w:ascii="Courier New" w:hAnsi="Courier New"/>
                <w:b w:val="0"/>
                <w:i w:val="0"/>
                <w:sz w:val="18"/>
              </w:rPr>
              <w:t>nano mkdocs.yml</w:t>
            </w:r>
          </w:p>
        </w:tc>
      </w:tr>
    </w:tbl>
    <w:p>
      <w:pPr>
        <w:spacing w:after="20"/>
      </w:pPr>
    </w:p>
    <w:tbl>
      <w:tblPr>
        <w:tblW w:type="auto" w:w="0"/>
        <w:jc w:val="left"/>
        <w:tblLayout w:type="autofit"/>
        <w:tblLook w:firstColumn="1" w:firstRow="1" w:lastColumn="0" w:lastRow="0" w:noHBand="0" w:noVBand="1" w:val="04A0"/>
      </w:tblPr>
      <w:tblGrid>
        <w:gridCol w:w="9936"/>
      </w:tblGrid>
      <w:tr>
        <w:tc>
          <w:tcPr>
            <w:tcW w:type="dxa" w:w="9936"/>
            <w:shd w:fill="F3F5F7"/>
            <w:tcMar>
              <w:top w:w="80" w:type="dxa"/>
              <w:start w:w="100" w:type="dxa"/>
              <w:bottom w:w="80" w:type="dxa"/>
              <w:end w:w="100" w:type="dxa"/>
            </w:tcMar>
          </w:tcPr>
          <w:p>
            <w:pPr>
              <w:pStyle w:val="CodeBlock"/>
              <w:keepLines/>
            </w:pPr>
            <w:r/>
            <w:r>
              <w:rPr>
                <w:rFonts w:ascii="Courier New" w:hAnsi="Courier New"/>
                <w:b w:val="0"/>
                <w:i w:val="0"/>
                <w:sz w:val="18"/>
              </w:rPr>
              <w:t>site_name: "${{ values.service_name }}"</w:t>
            </w:r>
          </w:p>
          <w:p>
            <w:pPr>
              <w:pStyle w:val="CodeBlock"/>
              <w:keepLines/>
            </w:pPr>
            <w:r>
              <w:rPr>
                <w:rFonts w:ascii="Courier New" w:hAnsi="Courier New"/>
                <w:b w:val="0"/>
                <w:i w:val="0"/>
                <w:sz w:val="18"/>
              </w:rPr>
              <w:t>site_description: "Documentation for ${{ values.service_name }}"</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docs_dir: docs</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nav:</w:t>
            </w:r>
          </w:p>
          <w:p>
            <w:pPr>
              <w:pStyle w:val="CodeBlock"/>
              <w:keepLines/>
            </w:pPr>
            <w:r>
              <w:rPr>
                <w:rFonts w:ascii="Courier New" w:hAnsi="Courier New"/>
                <w:b w:val="0"/>
                <w:i w:val="0"/>
                <w:sz w:val="18"/>
              </w:rPr>
              <w:t xml:space="preserve">  - Home: index.md</w:t>
            </w:r>
          </w:p>
          <w:p>
            <w:pPr>
              <w:pStyle w:val="CodeBlock"/>
              <w:keepLines/>
            </w:pPr>
            <w:r>
              <w:rPr>
                <w:rFonts w:ascii="Courier New" w:hAnsi="Courier New"/>
                <w:b w:val="0"/>
                <w:i w:val="0"/>
                <w:sz w:val="18"/>
              </w:rPr>
              <w:t xml:space="preserve">  - Getting Started: getting-started.md</w:t>
            </w:r>
          </w:p>
          <w:p>
            <w:pPr>
              <w:pStyle w:val="CodeBlock"/>
              <w:keepLines/>
            </w:pPr>
            <w:r>
              <w:rPr>
                <w:rFonts w:ascii="Courier New" w:hAnsi="Courier New"/>
                <w:b w:val="0"/>
                <w:i w:val="0"/>
                <w:sz w:val="18"/>
              </w:rPr>
              <w:t xml:space="preserve">  - Architecture: architecture.md</w:t>
            </w:r>
          </w:p>
          <w:p>
            <w:pPr>
              <w:pStyle w:val="CodeBlock"/>
              <w:keepLines/>
            </w:pPr>
            <w:r>
              <w:rPr>
                <w:rFonts w:ascii="Courier New" w:hAnsi="Courier New"/>
                <w:b w:val="0"/>
                <w:i w:val="0"/>
                <w:sz w:val="18"/>
              </w:rPr>
              <w:t xml:space="preserve">  - API &amp; Endpoints: api.md</w:t>
            </w:r>
          </w:p>
          <w:p>
            <w:pPr>
              <w:pStyle w:val="CodeBlock"/>
              <w:keepLines/>
            </w:pPr>
            <w:r>
              <w:rPr>
                <w:rFonts w:ascii="Courier New" w:hAnsi="Courier New"/>
                <w:b w:val="0"/>
                <w:i w:val="0"/>
                <w:sz w:val="18"/>
              </w:rPr>
              <w:t xml:space="preserve">  - Operations: operations.md</w:t>
            </w:r>
          </w:p>
          <w:p>
            <w:pPr>
              <w:pStyle w:val="CodeBlock"/>
              <w:keepLines/>
            </w:pPr>
            <w:r>
              <w:rPr>
                <w:rFonts w:ascii="Courier New" w:hAnsi="Courier New"/>
                <w:b w:val="0"/>
                <w:i w:val="0"/>
                <w:sz w:val="18"/>
              </w:rPr>
              <w:t xml:space="preserve">  - Troubleshooting: troubleshooting.md</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plugins:</w:t>
            </w:r>
          </w:p>
          <w:p>
            <w:pPr>
              <w:pStyle w:val="CodeBlock"/>
              <w:keepLines/>
            </w:pPr>
            <w:r>
              <w:rPr>
                <w:rFonts w:ascii="Courier New" w:hAnsi="Courier New"/>
                <w:b w:val="0"/>
                <w:i w:val="0"/>
                <w:sz w:val="18"/>
              </w:rPr>
              <w:t xml:space="preserve">  - techdocs-core</w:t>
            </w:r>
          </w:p>
        </w:tc>
      </w:tr>
    </w:tbl>
    <w:p>
      <w:pPr>
        <w:spacing w:after="20"/>
      </w:pPr>
    </w:p>
    <w:p>
      <w:r>
        <w:rPr>
          <w:rFonts w:ascii="Times New Roman" w:hAnsi="Times New Roman"/>
          <w:b w:val="0"/>
          <w:i w:val="0"/>
          <w:sz w:val="23"/>
        </w:rPr>
        <w:t>Save the file.</w:t>
      </w:r>
    </w:p>
    <w:p>
      <w:r>
        <w:rPr>
          <w:rFonts w:ascii="Times New Roman" w:hAnsi="Times New Roman"/>
          <w:b w:val="0"/>
          <w:i w:val="0"/>
          <w:sz w:val="23"/>
        </w:rPr>
        <w:t>This turns the documentation into a structured site with predictable navigation. The techdocs-core plugin is the standard TechDocs MkDocs integration; Backstage can also add it automatically if omitted, but keeping it explicit makes the training configuration easy to understand.</w:t>
      </w:r>
    </w:p>
    <w:p>
      <w:pPr>
        <w:pStyle w:val="Heading1"/>
        <w:keepNext/>
      </w:pPr>
      <w:r>
        <w:t>Step 10 – Update catalog-info.yaml</w:t>
      </w:r>
    </w:p>
    <w:p>
      <w:r>
        <w:rPr>
          <w:rFonts w:ascii="Times New Roman" w:hAnsi="Times New Roman"/>
          <w:b w:val="0"/>
          <w:i w:val="0"/>
          <w:sz w:val="23"/>
        </w:rPr>
        <w:t>Open:</w:t>
      </w:r>
    </w:p>
    <w:tbl>
      <w:tblPr>
        <w:tblW w:type="auto" w:w="0"/>
        <w:jc w:val="left"/>
        <w:tblLayout w:type="autofit"/>
        <w:tblLook w:firstColumn="1" w:firstRow="1" w:lastColumn="0" w:lastRow="0" w:noHBand="0" w:noVBand="1" w:val="04A0"/>
      </w:tblPr>
      <w:tblGrid>
        <w:gridCol w:w="9936"/>
      </w:tblGrid>
      <w:tr>
        <w:tc>
          <w:tcPr>
            <w:tcW w:type="dxa" w:w="9936"/>
            <w:shd w:fill="F3F5F7"/>
            <w:tcMar>
              <w:top w:w="80" w:type="dxa"/>
              <w:start w:w="100" w:type="dxa"/>
              <w:bottom w:w="80" w:type="dxa"/>
              <w:end w:w="100" w:type="dxa"/>
            </w:tcMar>
          </w:tcPr>
          <w:p>
            <w:pPr>
              <w:pStyle w:val="CodeBlock"/>
              <w:keepLines/>
            </w:pPr>
            <w:r/>
            <w:r>
              <w:rPr>
                <w:rFonts w:ascii="Courier New" w:hAnsi="Courier New"/>
                <w:b w:val="0"/>
                <w:i w:val="0"/>
                <w:sz w:val="18"/>
              </w:rPr>
              <w:t>nano catalog-info.yaml</w:t>
            </w:r>
          </w:p>
        </w:tc>
      </w:tr>
    </w:tbl>
    <w:p>
      <w:pPr>
        <w:spacing w:after="20"/>
      </w:pPr>
    </w:p>
    <w:p>
      <w:r>
        <w:rPr>
          <w:rFonts w:ascii="Times New Roman" w:hAnsi="Times New Roman"/>
          <w:b w:val="0"/>
          <w:i w:val="0"/>
          <w:sz w:val="23"/>
        </w:rPr>
        <w:t>Ensure the Component contains the TechDocs annotation:</w:t>
      </w:r>
    </w:p>
    <w:tbl>
      <w:tblPr>
        <w:tblW w:type="auto" w:w="0"/>
        <w:jc w:val="left"/>
        <w:tblLayout w:type="autofit"/>
        <w:tblLook w:firstColumn="1" w:firstRow="1" w:lastColumn="0" w:lastRow="0" w:noHBand="0" w:noVBand="1" w:val="04A0"/>
      </w:tblPr>
      <w:tblGrid>
        <w:gridCol w:w="9936"/>
      </w:tblGrid>
      <w:tr>
        <w:tc>
          <w:tcPr>
            <w:tcW w:type="dxa" w:w="9936"/>
            <w:shd w:fill="F3F5F7"/>
            <w:tcMar>
              <w:top w:w="80" w:type="dxa"/>
              <w:start w:w="100" w:type="dxa"/>
              <w:bottom w:w="80" w:type="dxa"/>
              <w:end w:w="100" w:type="dxa"/>
            </w:tcMar>
          </w:tcPr>
          <w:p>
            <w:pPr>
              <w:pStyle w:val="CodeBlock"/>
              <w:keepLines/>
            </w:pPr>
            <w:r/>
            <w:r>
              <w:rPr>
                <w:rFonts w:ascii="Courier New" w:hAnsi="Courier New"/>
                <w:b w:val="0"/>
                <w:i w:val="0"/>
                <w:sz w:val="18"/>
              </w:rPr>
              <w:t>apiVersion: backstage.io/v1alpha1</w:t>
            </w:r>
          </w:p>
          <w:p>
            <w:pPr>
              <w:pStyle w:val="CodeBlock"/>
              <w:keepLines/>
            </w:pPr>
            <w:r>
              <w:rPr>
                <w:rFonts w:ascii="Courier New" w:hAnsi="Courier New"/>
                <w:b w:val="0"/>
                <w:i w:val="0"/>
                <w:sz w:val="18"/>
              </w:rPr>
              <w:t>kind: Component</w:t>
            </w:r>
          </w:p>
          <w:p>
            <w:pPr>
              <w:pStyle w:val="CodeBlock"/>
              <w:keepLines/>
            </w:pPr>
            <w:r>
              <w:rPr>
                <w:rFonts w:ascii="Courier New" w:hAnsi="Courier New"/>
                <w:b w:val="0"/>
                <w:i w:val="0"/>
                <w:sz w:val="18"/>
              </w:rPr>
              <w:t>metadata:</w:t>
            </w:r>
          </w:p>
          <w:p>
            <w:pPr>
              <w:pStyle w:val="CodeBlock"/>
              <w:keepLines/>
            </w:pPr>
            <w:r>
              <w:rPr>
                <w:rFonts w:ascii="Courier New" w:hAnsi="Courier New"/>
                <w:b w:val="0"/>
                <w:i w:val="0"/>
                <w:sz w:val="18"/>
              </w:rPr>
              <w:t xml:space="preserve">  name: "${{ values.service_name }}"</w:t>
            </w:r>
          </w:p>
          <w:p>
            <w:pPr>
              <w:pStyle w:val="CodeBlock"/>
              <w:keepLines/>
            </w:pPr>
            <w:r>
              <w:rPr>
                <w:rFonts w:ascii="Courier New" w:hAnsi="Courier New"/>
                <w:b w:val="0"/>
                <w:i w:val="0"/>
                <w:sz w:val="18"/>
              </w:rPr>
              <w:t xml:space="preserve">  description: Platform-generated standardized microservice</w:t>
            </w:r>
          </w:p>
          <w:p>
            <w:pPr>
              <w:pStyle w:val="CodeBlock"/>
              <w:keepLines/>
            </w:pPr>
            <w:r>
              <w:rPr>
                <w:rFonts w:ascii="Courier New" w:hAnsi="Courier New"/>
                <w:b w:val="0"/>
                <w:i w:val="0"/>
                <w:sz w:val="18"/>
              </w:rPr>
              <w:t xml:space="preserve">  annotations:</w:t>
            </w:r>
          </w:p>
          <w:p>
            <w:pPr>
              <w:pStyle w:val="CodeBlock"/>
              <w:keepLines/>
            </w:pPr>
            <w:r>
              <w:rPr>
                <w:rFonts w:ascii="Courier New" w:hAnsi="Courier New"/>
                <w:b w:val="0"/>
                <w:i w:val="0"/>
                <w:sz w:val="18"/>
              </w:rPr>
              <w:t xml:space="preserve">    backstage.io/techdocs-ref: dir:.</w:t>
            </w:r>
          </w:p>
          <w:p>
            <w:pPr>
              <w:pStyle w:val="CodeBlock"/>
              <w:keepLines/>
            </w:pPr>
            <w:r>
              <w:rPr>
                <w:rFonts w:ascii="Courier New" w:hAnsi="Courier New"/>
                <w:b w:val="0"/>
                <w:i w:val="0"/>
                <w:sz w:val="18"/>
              </w:rPr>
              <w:t>spec:</w:t>
            </w:r>
          </w:p>
          <w:p>
            <w:pPr>
              <w:pStyle w:val="CodeBlock"/>
              <w:keepLines/>
            </w:pPr>
            <w:r>
              <w:rPr>
                <w:rFonts w:ascii="Courier New" w:hAnsi="Courier New"/>
                <w:b w:val="0"/>
                <w:i w:val="0"/>
                <w:sz w:val="18"/>
              </w:rPr>
              <w:t xml:space="preserve">  type: service</w:t>
            </w:r>
          </w:p>
          <w:p>
            <w:pPr>
              <w:pStyle w:val="CodeBlock"/>
              <w:keepLines/>
            </w:pPr>
            <w:r>
              <w:rPr>
                <w:rFonts w:ascii="Courier New" w:hAnsi="Courier New"/>
                <w:b w:val="0"/>
                <w:i w:val="0"/>
                <w:sz w:val="18"/>
              </w:rPr>
              <w:t xml:space="preserve">  lifecycle: development</w:t>
            </w:r>
          </w:p>
          <w:p>
            <w:pPr>
              <w:pStyle w:val="CodeBlock"/>
              <w:keepLines/>
            </w:pPr>
            <w:r>
              <w:rPr>
                <w:rFonts w:ascii="Courier New" w:hAnsi="Courier New"/>
                <w:b w:val="0"/>
                <w:i w:val="0"/>
                <w:sz w:val="18"/>
              </w:rPr>
              <w:t xml:space="preserve">  owner: "${{ values.owner }}"</w:t>
            </w:r>
          </w:p>
        </w:tc>
      </w:tr>
    </w:tbl>
    <w:p>
      <w:pPr>
        <w:spacing w:after="20"/>
      </w:pPr>
    </w:p>
    <w:tbl>
      <w:tblPr>
        <w:tblW w:type="auto" w:w="0"/>
        <w:jc w:val="left"/>
        <w:tblLook w:firstColumn="1" w:firstRow="1" w:lastColumn="0" w:lastRow="0" w:noHBand="0" w:noVBand="1" w:val="04A0"/>
      </w:tblPr>
      <w:tblGrid>
        <w:gridCol w:w="9936"/>
      </w:tblGrid>
      <w:tr>
        <w:tc>
          <w:tcPr>
            <w:tcW w:type="dxa" w:w="9936"/>
            <w:shd w:fill="EAF2F8"/>
            <w:tcMar>
              <w:top w:w="80" w:type="dxa"/>
              <w:start w:w="100" w:type="dxa"/>
              <w:bottom w:w="80" w:type="dxa"/>
              <w:end w:w="100" w:type="dxa"/>
            </w:tcMar>
          </w:tcPr>
          <w:p>
            <w:r>
              <w:rPr>
                <w:rFonts w:ascii="Times New Roman" w:hAnsi="Times New Roman"/>
                <w:b/>
                <w:i w:val="0"/>
                <w:sz w:val="22"/>
              </w:rPr>
              <w:t xml:space="preserve">What the annotation means: </w:t>
            </w:r>
            <w:r>
              <w:rPr>
                <w:rFonts w:ascii="Times New Roman" w:hAnsi="Times New Roman"/>
                <w:b w:val="0"/>
                <w:i w:val="0"/>
                <w:sz w:val="22"/>
              </w:rPr>
              <w:t>backstage.io/techdocs-ref: dir:. tells TechDocs to find the documentation source relative to the catalog-info.yaml location. The mkdocs.yml file and docs directory are expected in that source tree.</w:t>
            </w:r>
          </w:p>
        </w:tc>
      </w:tr>
    </w:tbl>
    <w:p>
      <w:pPr>
        <w:spacing w:after="20"/>
      </w:pPr>
    </w:p>
    <w:p>
      <w:pPr>
        <w:pStyle w:val="Heading1"/>
        <w:keepNext/>
      </w:pPr>
      <w:r>
        <w:t>Step 11 – Verify the Template Structure</w:t>
      </w:r>
    </w:p>
    <w:tbl>
      <w:tblPr>
        <w:tblW w:type="auto" w:w="0"/>
        <w:jc w:val="left"/>
        <w:tblLayout w:type="autofit"/>
        <w:tblLook w:firstColumn="1" w:firstRow="1" w:lastColumn="0" w:lastRow="0" w:noHBand="0" w:noVBand="1" w:val="04A0"/>
      </w:tblPr>
      <w:tblGrid>
        <w:gridCol w:w="9936"/>
      </w:tblGrid>
      <w:tr>
        <w:tc>
          <w:tcPr>
            <w:tcW w:type="dxa" w:w="9936"/>
            <w:shd w:fill="F3F5F7"/>
            <w:tcMar>
              <w:top w:w="80" w:type="dxa"/>
              <w:start w:w="100" w:type="dxa"/>
              <w:bottom w:w="80" w:type="dxa"/>
              <w:end w:w="100" w:type="dxa"/>
            </w:tcMar>
          </w:tcPr>
          <w:p>
            <w:pPr>
              <w:pStyle w:val="CodeBlock"/>
              <w:keepLines/>
            </w:pPr>
            <w:r/>
            <w:r>
              <w:rPr>
                <w:rFonts w:ascii="Courier New" w:hAnsi="Courier New"/>
                <w:b w:val="0"/>
                <w:i w:val="0"/>
                <w:sz w:val="18"/>
              </w:rPr>
              <w:t>find . -maxdepth 2 -type f | sort</w:t>
            </w:r>
          </w:p>
        </w:tc>
      </w:tr>
    </w:tbl>
    <w:p>
      <w:pPr>
        <w:spacing w:after="20"/>
      </w:pPr>
    </w:p>
    <w:p>
      <w:r>
        <w:rPr>
          <w:rFonts w:ascii="Times New Roman" w:hAnsi="Times New Roman"/>
          <w:b w:val="0"/>
          <w:i w:val="0"/>
          <w:sz w:val="23"/>
        </w:rPr>
        <w:t>Expected documentation-related files:</w:t>
      </w:r>
    </w:p>
    <w:tbl>
      <w:tblPr>
        <w:tblW w:type="auto" w:w="0"/>
        <w:jc w:val="left"/>
        <w:tblLayout w:type="autofit"/>
        <w:tblLook w:firstColumn="1" w:firstRow="1" w:lastColumn="0" w:lastRow="0" w:noHBand="0" w:noVBand="1" w:val="04A0"/>
      </w:tblPr>
      <w:tblGrid>
        <w:gridCol w:w="9936"/>
      </w:tblGrid>
      <w:tr>
        <w:tc>
          <w:tcPr>
            <w:tcW w:type="dxa" w:w="9936"/>
            <w:shd w:fill="F3F5F7"/>
            <w:tcMar>
              <w:top w:w="80" w:type="dxa"/>
              <w:start w:w="100" w:type="dxa"/>
              <w:bottom w:w="80" w:type="dxa"/>
              <w:end w:w="100" w:type="dxa"/>
            </w:tcMar>
          </w:tcPr>
          <w:p>
            <w:pPr>
              <w:pStyle w:val="CodeBlock"/>
              <w:keepLines/>
            </w:pPr>
            <w:r/>
            <w:r>
              <w:rPr>
                <w:rFonts w:ascii="Courier New" w:hAnsi="Courier New"/>
                <w:b w:val="0"/>
                <w:i w:val="0"/>
                <w:sz w:val="18"/>
              </w:rPr>
              <w:t>./catalog-info.yaml</w:t>
            </w:r>
          </w:p>
          <w:p>
            <w:pPr>
              <w:pStyle w:val="CodeBlock"/>
              <w:keepLines/>
            </w:pPr>
            <w:r>
              <w:rPr>
                <w:rFonts w:ascii="Courier New" w:hAnsi="Courier New"/>
                <w:b w:val="0"/>
                <w:i w:val="0"/>
                <w:sz w:val="18"/>
              </w:rPr>
              <w:t>./mkdocs.yml</w:t>
            </w:r>
          </w:p>
          <w:p>
            <w:pPr>
              <w:pStyle w:val="CodeBlock"/>
              <w:keepLines/>
            </w:pPr>
            <w:r>
              <w:rPr>
                <w:rFonts w:ascii="Courier New" w:hAnsi="Courier New"/>
                <w:b w:val="0"/>
                <w:i w:val="0"/>
                <w:sz w:val="18"/>
              </w:rPr>
              <w:t>./docs/api.md</w:t>
            </w:r>
          </w:p>
          <w:p>
            <w:pPr>
              <w:pStyle w:val="CodeBlock"/>
              <w:keepLines/>
            </w:pPr>
            <w:r>
              <w:rPr>
                <w:rFonts w:ascii="Courier New" w:hAnsi="Courier New"/>
                <w:b w:val="0"/>
                <w:i w:val="0"/>
                <w:sz w:val="18"/>
              </w:rPr>
              <w:t>./docs/architecture.md</w:t>
            </w:r>
          </w:p>
          <w:p>
            <w:pPr>
              <w:pStyle w:val="CodeBlock"/>
              <w:keepLines/>
            </w:pPr>
            <w:r>
              <w:rPr>
                <w:rFonts w:ascii="Courier New" w:hAnsi="Courier New"/>
                <w:b w:val="0"/>
                <w:i w:val="0"/>
                <w:sz w:val="18"/>
              </w:rPr>
              <w:t>./docs/getting-started.md</w:t>
            </w:r>
          </w:p>
          <w:p>
            <w:pPr>
              <w:pStyle w:val="CodeBlock"/>
              <w:keepLines/>
            </w:pPr>
            <w:r>
              <w:rPr>
                <w:rFonts w:ascii="Courier New" w:hAnsi="Courier New"/>
                <w:b w:val="0"/>
                <w:i w:val="0"/>
                <w:sz w:val="18"/>
              </w:rPr>
              <w:t>./docs/index.md</w:t>
            </w:r>
          </w:p>
          <w:p>
            <w:pPr>
              <w:pStyle w:val="CodeBlock"/>
              <w:keepLines/>
            </w:pPr>
            <w:r>
              <w:rPr>
                <w:rFonts w:ascii="Courier New" w:hAnsi="Courier New"/>
                <w:b w:val="0"/>
                <w:i w:val="0"/>
                <w:sz w:val="18"/>
              </w:rPr>
              <w:t>./docs/operations.md</w:t>
            </w:r>
          </w:p>
          <w:p>
            <w:pPr>
              <w:pStyle w:val="CodeBlock"/>
              <w:keepLines/>
            </w:pPr>
            <w:r>
              <w:rPr>
                <w:rFonts w:ascii="Courier New" w:hAnsi="Courier New"/>
                <w:b w:val="0"/>
                <w:i w:val="0"/>
                <w:sz w:val="18"/>
              </w:rPr>
              <w:t>./docs/troubleshooting.md</w:t>
            </w:r>
          </w:p>
        </w:tc>
      </w:tr>
    </w:tbl>
    <w:p>
      <w:pPr>
        <w:spacing w:after="20"/>
      </w:pPr>
    </w:p>
    <w:tbl>
      <w:tblPr>
        <w:tblW w:type="auto" w:w="0"/>
        <w:jc w:val="left"/>
        <w:tblLook w:firstColumn="1" w:firstRow="1" w:lastColumn="0" w:lastRow="0" w:noHBand="0" w:noVBand="1" w:val="04A0"/>
      </w:tblPr>
      <w:tblGrid>
        <w:gridCol w:w="9936"/>
      </w:tblGrid>
      <w:tr>
        <w:tc>
          <w:tcPr>
            <w:tcW w:type="dxa" w:w="9936"/>
            <w:shd w:fill="FFF2CC"/>
            <w:tcMar>
              <w:top w:w="80" w:type="dxa"/>
              <w:start w:w="100" w:type="dxa"/>
              <w:bottom w:w="80" w:type="dxa"/>
              <w:end w:w="100" w:type="dxa"/>
            </w:tcMar>
          </w:tcPr>
          <w:p>
            <w:r>
              <w:rPr>
                <w:rFonts w:ascii="Times New Roman" w:hAnsi="Times New Roman"/>
                <w:b/>
                <w:i w:val="0"/>
                <w:sz w:val="22"/>
              </w:rPr>
              <w:t xml:space="preserve">Critical file: </w:t>
            </w:r>
            <w:r>
              <w:rPr>
                <w:rFonts w:ascii="Times New Roman" w:hAnsi="Times New Roman"/>
                <w:b w:val="0"/>
                <w:i w:val="0"/>
                <w:sz w:val="22"/>
              </w:rPr>
              <w:t>docs/index.md is the documentation entry point. If it is missing from the generated repository, TechDocs can show a 404 even when the catalog entity itself is registered correctly.</w:t>
            </w:r>
          </w:p>
        </w:tc>
      </w:tr>
    </w:tbl>
    <w:p>
      <w:pPr>
        <w:spacing w:after="20"/>
      </w:pPr>
    </w:p>
    <w:p>
      <w:pPr>
        <w:pStyle w:val="Heading1"/>
        <w:keepNext/>
      </w:pPr>
      <w:r>
        <w:t>Step 12 – Restart Backstage if Configuration or Permissions Changed</w:t>
      </w:r>
    </w:p>
    <w:p>
      <w:r>
        <w:rPr>
          <w:rFonts w:ascii="Times New Roman" w:hAnsi="Times New Roman"/>
          <w:b w:val="0"/>
          <w:i w:val="0"/>
          <w:sz w:val="23"/>
        </w:rPr>
        <w:t>If you changed app-config.yaml or Docker group membership during setup, restart Backstage before testing TechDocs:</w:t>
      </w:r>
    </w:p>
    <w:tbl>
      <w:tblPr>
        <w:tblW w:type="auto" w:w="0"/>
        <w:jc w:val="left"/>
        <w:tblLayout w:type="autofit"/>
        <w:tblLook w:firstColumn="1" w:firstRow="1" w:lastColumn="0" w:lastRow="0" w:noHBand="0" w:noVBand="1" w:val="04A0"/>
      </w:tblPr>
      <w:tblGrid>
        <w:gridCol w:w="9936"/>
      </w:tblGrid>
      <w:tr>
        <w:tc>
          <w:tcPr>
            <w:tcW w:type="dxa" w:w="9936"/>
            <w:shd w:fill="F3F5F7"/>
            <w:tcMar>
              <w:top w:w="80" w:type="dxa"/>
              <w:start w:w="100" w:type="dxa"/>
              <w:bottom w:w="80" w:type="dxa"/>
              <w:end w:w="100" w:type="dxa"/>
            </w:tcMar>
          </w:tcPr>
          <w:p>
            <w:pPr>
              <w:pStyle w:val="CodeBlock"/>
              <w:keepLines/>
            </w:pPr>
            <w:r/>
            <w:r>
              <w:rPr>
                <w:rFonts w:ascii="Courier New" w:hAnsi="Courier New"/>
                <w:b w:val="0"/>
                <w:i w:val="0"/>
                <w:sz w:val="18"/>
              </w:rPr>
              <w:t>cd ~/raman-idp</w:t>
            </w:r>
          </w:p>
          <w:p>
            <w:pPr>
              <w:pStyle w:val="CodeBlock"/>
              <w:keepLines/>
            </w:pPr>
            <w:r>
              <w:rPr>
                <w:rFonts w:ascii="Courier New" w:hAnsi="Courier New"/>
                <w:b w:val="0"/>
                <w:i w:val="0"/>
                <w:sz w:val="18"/>
              </w:rPr>
              <w:t># Stop the existing process with Ctrl+C, then:</w:t>
            </w:r>
          </w:p>
          <w:p>
            <w:pPr>
              <w:pStyle w:val="CodeBlock"/>
              <w:keepLines/>
            </w:pPr>
            <w:r>
              <w:rPr>
                <w:rFonts w:ascii="Courier New" w:hAnsi="Courier New"/>
                <w:b w:val="0"/>
                <w:i w:val="0"/>
                <w:sz w:val="18"/>
              </w:rPr>
              <w:t>yarn start</w:t>
            </w:r>
          </w:p>
        </w:tc>
      </w:tr>
    </w:tbl>
    <w:p>
      <w:pPr>
        <w:spacing w:after="20"/>
      </w:pPr>
    </w:p>
    <w:p>
      <w:r>
        <w:rPr>
          <w:rFonts w:ascii="Times New Roman" w:hAnsi="Times New Roman"/>
          <w:b w:val="0"/>
          <w:i w:val="0"/>
          <w:sz w:val="23"/>
        </w:rPr>
        <w:t>If Backstage was started in an old session before docker group membership was active, simply refreshing the browser is not enough; the backend process must be restarted.</w:t>
      </w:r>
    </w:p>
    <w:p>
      <w:pPr>
        <w:pStyle w:val="Heading1"/>
        <w:keepNext/>
      </w:pPr>
      <w:r>
        <w:t>Step 13 – Generate a New Service</w:t>
      </w:r>
    </w:p>
    <w:p>
      <w:r>
        <w:rPr>
          <w:rFonts w:ascii="Times New Roman" w:hAnsi="Times New Roman"/>
          <w:b w:val="0"/>
          <w:i w:val="0"/>
          <w:sz w:val="23"/>
        </w:rPr>
        <w:t>Open:</w:t>
      </w:r>
    </w:p>
    <w:tbl>
      <w:tblPr>
        <w:tblW w:type="auto" w:w="0"/>
        <w:jc w:val="left"/>
        <w:tblLayout w:type="autofit"/>
        <w:tblLook w:firstColumn="1" w:firstRow="1" w:lastColumn="0" w:lastRow="0" w:noHBand="0" w:noVBand="1" w:val="04A0"/>
      </w:tblPr>
      <w:tblGrid>
        <w:gridCol w:w="9936"/>
      </w:tblGrid>
      <w:tr>
        <w:tc>
          <w:tcPr>
            <w:tcW w:type="dxa" w:w="9936"/>
            <w:shd w:fill="F3F5F7"/>
            <w:tcMar>
              <w:top w:w="80" w:type="dxa"/>
              <w:start w:w="100" w:type="dxa"/>
              <w:bottom w:w="80" w:type="dxa"/>
              <w:end w:w="100" w:type="dxa"/>
            </w:tcMar>
          </w:tcPr>
          <w:p>
            <w:pPr>
              <w:pStyle w:val="CodeBlock"/>
              <w:keepLines/>
            </w:pPr>
            <w:r/>
            <w:r>
              <w:rPr>
                <w:rFonts w:ascii="Courier New" w:hAnsi="Courier New"/>
                <w:b w:val="0"/>
                <w:i w:val="0"/>
                <w:sz w:val="18"/>
              </w:rPr>
              <w:t>http://&lt;EC2-PUBLIC-IP&gt;:3000</w:t>
            </w:r>
          </w:p>
        </w:tc>
      </w:tr>
    </w:tbl>
    <w:p>
      <w:pPr>
        <w:spacing w:after="20"/>
      </w:pPr>
    </w:p>
    <w:p>
      <w:r>
        <w:rPr>
          <w:rFonts w:ascii="Times New Roman" w:hAnsi="Times New Roman"/>
          <w:b w:val="0"/>
          <w:i w:val="0"/>
          <w:sz w:val="23"/>
        </w:rPr>
        <w:t>Navigate to Create and select the GitHub Standardized Service Template.</w:t>
      </w:r>
    </w:p>
    <w:tbl>
      <w:tblPr>
        <w:tblStyle w:val="TableGrid"/>
        <w:tblW w:type="auto" w:w="0"/>
        <w:jc w:val="center"/>
        <w:tblLook w:firstColumn="1" w:firstRow="1" w:lastColumn="0" w:lastRow="0" w:noHBand="0" w:noVBand="1" w:val="04A0"/>
      </w:tblPr>
      <w:tblGrid>
        <w:gridCol w:w="4968"/>
        <w:gridCol w:w="4968"/>
      </w:tblGrid>
      <w:tr>
        <w:trPr>
          <w:cantSplit/>
        </w:trPr>
        <w:tc>
          <w:tcPr>
            <w:tcW w:type="dxa" w:w="3168"/>
            <w:shd w:fill="D9EAF7"/>
            <w:vAlign w:val="center"/>
            <w:tcMar>
              <w:top w:w="80" w:type="dxa"/>
              <w:start w:w="100" w:type="dxa"/>
              <w:bottom w:w="80" w:type="dxa"/>
              <w:end w:w="100" w:type="dxa"/>
            </w:tcMar>
          </w:tcPr>
          <w:p>
            <w:r>
              <w:rPr>
                <w:rFonts w:ascii="Times New Roman" w:hAnsi="Times New Roman"/>
                <w:b/>
                <w:i w:val="0"/>
                <w:sz w:val="21"/>
              </w:rPr>
              <w:t>Field</w:t>
            </w:r>
          </w:p>
        </w:tc>
        <w:tc>
          <w:tcPr>
            <w:tcW w:type="dxa" w:w="6480"/>
            <w:shd w:fill="D9EAF7"/>
            <w:vAlign w:val="center"/>
            <w:tcMar>
              <w:top w:w="80" w:type="dxa"/>
              <w:start w:w="100" w:type="dxa"/>
              <w:bottom w:w="80" w:type="dxa"/>
              <w:end w:w="100" w:type="dxa"/>
            </w:tcMar>
          </w:tcPr>
          <w:p>
            <w:r>
              <w:rPr>
                <w:rFonts w:ascii="Times New Roman" w:hAnsi="Times New Roman"/>
                <w:b/>
                <w:i w:val="0"/>
                <w:sz w:val="21"/>
              </w:rPr>
              <w:t>Value</w:t>
            </w:r>
          </w:p>
        </w:tc>
      </w:tr>
      <w:tr>
        <w:trPr>
          <w:cantSplit/>
        </w:trPr>
        <w:tc>
          <w:tcPr>
            <w:tcW w:type="dxa" w:w="3168"/>
            <w:vAlign w:val="center"/>
            <w:tcMar>
              <w:top w:w="80" w:type="dxa"/>
              <w:start w:w="100" w:type="dxa"/>
              <w:bottom w:w="80" w:type="dxa"/>
              <w:end w:w="100" w:type="dxa"/>
            </w:tcMar>
          </w:tcPr>
          <w:p>
            <w:r>
              <w:rPr>
                <w:rFonts w:ascii="Times New Roman" w:hAnsi="Times New Roman"/>
                <w:b w:val="0"/>
                <w:i w:val="0"/>
                <w:sz w:val="21"/>
              </w:rPr>
              <w:t>Service Name</w:t>
            </w:r>
          </w:p>
        </w:tc>
        <w:tc>
          <w:tcPr>
            <w:tcW w:type="dxa" w:w="6480"/>
            <w:vAlign w:val="center"/>
            <w:tcMar>
              <w:top w:w="80" w:type="dxa"/>
              <w:start w:w="100" w:type="dxa"/>
              <w:bottom w:w="80" w:type="dxa"/>
              <w:end w:w="100" w:type="dxa"/>
            </w:tcMar>
          </w:tcPr>
          <w:p>
            <w:r>
              <w:rPr>
                <w:rFonts w:ascii="Times New Roman" w:hAnsi="Times New Roman"/>
                <w:b w:val="0"/>
                <w:i w:val="0"/>
                <w:sz w:val="21"/>
              </w:rPr>
              <w:t>payment-service</w:t>
            </w:r>
          </w:p>
        </w:tc>
      </w:tr>
      <w:tr>
        <w:trPr>
          <w:cantSplit/>
        </w:trPr>
        <w:tc>
          <w:tcPr>
            <w:tcW w:type="dxa" w:w="3168"/>
            <w:vAlign w:val="center"/>
            <w:tcMar>
              <w:top w:w="80" w:type="dxa"/>
              <w:start w:w="100" w:type="dxa"/>
              <w:bottom w:w="80" w:type="dxa"/>
              <w:end w:w="100" w:type="dxa"/>
            </w:tcMar>
          </w:tcPr>
          <w:p>
            <w:r>
              <w:rPr>
                <w:rFonts w:ascii="Times New Roman" w:hAnsi="Times New Roman"/>
                <w:b w:val="0"/>
                <w:i w:val="0"/>
                <w:sz w:val="21"/>
              </w:rPr>
              <w:t>Owner Team</w:t>
            </w:r>
          </w:p>
        </w:tc>
        <w:tc>
          <w:tcPr>
            <w:tcW w:type="dxa" w:w="6480"/>
            <w:vAlign w:val="center"/>
            <w:tcMar>
              <w:top w:w="80" w:type="dxa"/>
              <w:start w:w="100" w:type="dxa"/>
              <w:bottom w:w="80" w:type="dxa"/>
              <w:end w:w="100" w:type="dxa"/>
            </w:tcMar>
          </w:tcPr>
          <w:p>
            <w:r>
              <w:rPr>
                <w:rFonts w:ascii="Times New Roman" w:hAnsi="Times New Roman"/>
                <w:b w:val="0"/>
                <w:i w:val="0"/>
                <w:sz w:val="21"/>
              </w:rPr>
              <w:t>payments-team</w:t>
            </w:r>
          </w:p>
        </w:tc>
      </w:tr>
      <w:tr>
        <w:trPr>
          <w:cantSplit/>
        </w:trPr>
        <w:tc>
          <w:tcPr>
            <w:tcW w:type="dxa" w:w="3168"/>
            <w:vAlign w:val="center"/>
            <w:tcMar>
              <w:top w:w="80" w:type="dxa"/>
              <w:start w:w="100" w:type="dxa"/>
              <w:bottom w:w="80" w:type="dxa"/>
              <w:end w:w="100" w:type="dxa"/>
            </w:tcMar>
          </w:tcPr>
          <w:p>
            <w:r>
              <w:rPr>
                <w:rFonts w:ascii="Times New Roman" w:hAnsi="Times New Roman"/>
                <w:b w:val="0"/>
                <w:i w:val="0"/>
                <w:sz w:val="21"/>
              </w:rPr>
              <w:t>Port</w:t>
            </w:r>
          </w:p>
        </w:tc>
        <w:tc>
          <w:tcPr>
            <w:tcW w:type="dxa" w:w="6480"/>
            <w:vAlign w:val="center"/>
            <w:tcMar>
              <w:top w:w="80" w:type="dxa"/>
              <w:start w:w="100" w:type="dxa"/>
              <w:bottom w:w="80" w:type="dxa"/>
              <w:end w:w="100" w:type="dxa"/>
            </w:tcMar>
          </w:tcPr>
          <w:p>
            <w:r>
              <w:rPr>
                <w:rFonts w:ascii="Times New Roman" w:hAnsi="Times New Roman"/>
                <w:b w:val="0"/>
                <w:i w:val="0"/>
                <w:sz w:val="21"/>
              </w:rPr>
              <w:t>8085</w:t>
            </w:r>
          </w:p>
        </w:tc>
      </w:tr>
      <w:tr>
        <w:trPr>
          <w:cantSplit/>
        </w:trPr>
        <w:tc>
          <w:tcPr>
            <w:tcW w:type="dxa" w:w="3168"/>
            <w:vAlign w:val="center"/>
            <w:tcMar>
              <w:top w:w="80" w:type="dxa"/>
              <w:start w:w="100" w:type="dxa"/>
              <w:bottom w:w="80" w:type="dxa"/>
              <w:end w:w="100" w:type="dxa"/>
            </w:tcMar>
          </w:tcPr>
          <w:p>
            <w:r>
              <w:rPr>
                <w:rFonts w:ascii="Times New Roman" w:hAnsi="Times New Roman"/>
                <w:b w:val="0"/>
                <w:i w:val="0"/>
                <w:sz w:val="21"/>
              </w:rPr>
              <w:t>Repository</w:t>
            </w:r>
          </w:p>
        </w:tc>
        <w:tc>
          <w:tcPr>
            <w:tcW w:type="dxa" w:w="6480"/>
            <w:vAlign w:val="center"/>
            <w:tcMar>
              <w:top w:w="80" w:type="dxa"/>
              <w:start w:w="100" w:type="dxa"/>
              <w:bottom w:w="80" w:type="dxa"/>
              <w:end w:w="100" w:type="dxa"/>
            </w:tcMar>
          </w:tcPr>
          <w:p>
            <w:r>
              <w:rPr>
                <w:rFonts w:ascii="Times New Roman" w:hAnsi="Times New Roman"/>
                <w:b w:val="0"/>
                <w:i w:val="0"/>
                <w:sz w:val="21"/>
              </w:rPr>
              <w:t>payment-service-docs</w:t>
            </w:r>
          </w:p>
        </w:tc>
      </w:tr>
    </w:tbl>
    <w:p>
      <w:pPr>
        <w:spacing w:after="20"/>
      </w:pPr>
    </w:p>
    <w:p>
      <w:r>
        <w:rPr>
          <w:rFonts w:ascii="Times New Roman" w:hAnsi="Times New Roman"/>
          <w:b w:val="0"/>
          <w:i w:val="0"/>
          <w:sz w:val="23"/>
        </w:rPr>
        <w:t>Click Next and then Create.</w:t>
      </w:r>
    </w:p>
    <w:p>
      <w:pPr>
        <w:pStyle w:val="Heading1"/>
        <w:keepNext/>
      </w:pPr>
      <w:r>
        <w:t>Step 14 – Verify the Generated GitHub Repository</w:t>
      </w:r>
    </w:p>
    <w:p>
      <w:r>
        <w:rPr>
          <w:rFonts w:ascii="Times New Roman" w:hAnsi="Times New Roman"/>
          <w:b w:val="0"/>
          <w:i w:val="0"/>
          <w:sz w:val="23"/>
        </w:rPr>
        <w:t>Open the generated repository and confirm the documentation files were created automatically.</w:t>
      </w:r>
    </w:p>
    <w:tbl>
      <w:tblPr>
        <w:tblW w:type="auto" w:w="0"/>
        <w:jc w:val="left"/>
        <w:tblLayout w:type="autofit"/>
        <w:tblLook w:firstColumn="1" w:firstRow="1" w:lastColumn="0" w:lastRow="0" w:noHBand="0" w:noVBand="1" w:val="04A0"/>
      </w:tblPr>
      <w:tblGrid>
        <w:gridCol w:w="9936"/>
      </w:tblGrid>
      <w:tr>
        <w:tc>
          <w:tcPr>
            <w:tcW w:type="dxa" w:w="9936"/>
            <w:shd w:fill="F3F5F7"/>
            <w:tcMar>
              <w:top w:w="80" w:type="dxa"/>
              <w:start w:w="100" w:type="dxa"/>
              <w:bottom w:w="80" w:type="dxa"/>
              <w:end w:w="100" w:type="dxa"/>
            </w:tcMar>
          </w:tcPr>
          <w:p>
            <w:pPr>
              <w:pStyle w:val="CodeBlock"/>
              <w:keepLines/>
            </w:pPr>
            <w:r/>
            <w:r>
              <w:rPr>
                <w:rFonts w:ascii="Courier New" w:hAnsi="Courier New"/>
                <w:b w:val="0"/>
                <w:i w:val="0"/>
                <w:sz w:val="18"/>
              </w:rPr>
              <w:t>catalog-info.yaml</w:t>
            </w:r>
          </w:p>
          <w:p>
            <w:pPr>
              <w:pStyle w:val="CodeBlock"/>
              <w:keepLines/>
            </w:pPr>
            <w:r>
              <w:rPr>
                <w:rFonts w:ascii="Courier New" w:hAnsi="Courier New"/>
                <w:b w:val="0"/>
                <w:i w:val="0"/>
                <w:sz w:val="18"/>
              </w:rPr>
              <w:t>mkdocs.yml</w:t>
            </w:r>
          </w:p>
          <w:p>
            <w:pPr>
              <w:pStyle w:val="CodeBlock"/>
              <w:keepLines/>
            </w:pPr>
            <w:r>
              <w:rPr>
                <w:rFonts w:ascii="Courier New" w:hAnsi="Courier New"/>
                <w:b w:val="0"/>
                <w:i w:val="0"/>
                <w:sz w:val="18"/>
              </w:rPr>
              <w:t>docs/</w:t>
            </w:r>
          </w:p>
          <w:p>
            <w:pPr>
              <w:pStyle w:val="CodeBlock"/>
              <w:keepLines/>
            </w:pPr>
            <w:r>
              <w:rPr>
                <w:rFonts w:ascii="Courier New" w:hAnsi="Courier New"/>
                <w:b w:val="0"/>
                <w:i w:val="0"/>
                <w:sz w:val="18"/>
              </w:rPr>
              <w:t xml:space="preserve">  index.md</w:t>
            </w:r>
          </w:p>
          <w:p>
            <w:pPr>
              <w:pStyle w:val="CodeBlock"/>
              <w:keepLines/>
            </w:pPr>
            <w:r>
              <w:rPr>
                <w:rFonts w:ascii="Courier New" w:hAnsi="Courier New"/>
                <w:b w:val="0"/>
                <w:i w:val="0"/>
                <w:sz w:val="18"/>
              </w:rPr>
              <w:t xml:space="preserve">  getting-started.md</w:t>
            </w:r>
          </w:p>
          <w:p>
            <w:pPr>
              <w:pStyle w:val="CodeBlock"/>
              <w:keepLines/>
            </w:pPr>
            <w:r>
              <w:rPr>
                <w:rFonts w:ascii="Courier New" w:hAnsi="Courier New"/>
                <w:b w:val="0"/>
                <w:i w:val="0"/>
                <w:sz w:val="18"/>
              </w:rPr>
              <w:t xml:space="preserve">  architecture.md</w:t>
            </w:r>
          </w:p>
          <w:p>
            <w:pPr>
              <w:pStyle w:val="CodeBlock"/>
              <w:keepLines/>
            </w:pPr>
            <w:r>
              <w:rPr>
                <w:rFonts w:ascii="Courier New" w:hAnsi="Courier New"/>
                <w:b w:val="0"/>
                <w:i w:val="0"/>
                <w:sz w:val="18"/>
              </w:rPr>
              <w:t xml:space="preserve">  api.md</w:t>
            </w:r>
          </w:p>
          <w:p>
            <w:pPr>
              <w:pStyle w:val="CodeBlock"/>
              <w:keepLines/>
            </w:pPr>
            <w:r>
              <w:rPr>
                <w:rFonts w:ascii="Courier New" w:hAnsi="Courier New"/>
                <w:b w:val="0"/>
                <w:i w:val="0"/>
                <w:sz w:val="18"/>
              </w:rPr>
              <w:t xml:space="preserve">  operations.md</w:t>
            </w:r>
          </w:p>
          <w:p>
            <w:pPr>
              <w:pStyle w:val="CodeBlock"/>
              <w:keepLines/>
            </w:pPr>
            <w:r>
              <w:rPr>
                <w:rFonts w:ascii="Courier New" w:hAnsi="Courier New"/>
                <w:b w:val="0"/>
                <w:i w:val="0"/>
                <w:sz w:val="18"/>
              </w:rPr>
              <w:t xml:space="preserve">  troubleshooting.md</w:t>
            </w:r>
          </w:p>
        </w:tc>
      </w:tr>
    </w:tbl>
    <w:p>
      <w:pPr>
        <w:spacing w:after="20"/>
      </w:pPr>
    </w:p>
    <w:p>
      <w:r>
        <w:rPr>
          <w:rFonts w:ascii="Times New Roman" w:hAnsi="Times New Roman"/>
          <w:b w:val="0"/>
          <w:i w:val="0"/>
          <w:sz w:val="23"/>
        </w:rPr>
        <w:t>Open a few files and confirm the template values were rendered. For example, the home page should show payment-service, payments-team, and port 8085.</w:t>
      </w:r>
    </w:p>
    <w:p>
      <w:pPr>
        <w:pStyle w:val="Heading1"/>
        <w:keepNext/>
      </w:pPr>
      <w:r>
        <w:t>Step 15 – Register and Open the Component</w:t>
      </w:r>
    </w:p>
    <w:p>
      <w:r>
        <w:rPr>
          <w:rFonts w:ascii="Times New Roman" w:hAnsi="Times New Roman"/>
          <w:b w:val="0"/>
          <w:i w:val="0"/>
          <w:sz w:val="23"/>
        </w:rPr>
        <w:t>If your Software Template already registers the entity as part of the creation flow, open the generated component from the Catalog. Otherwise, use Register Existing Component and register the repository catalog-info.yaml.</w:t>
      </w:r>
    </w:p>
    <w:p>
      <w:r>
        <w:rPr>
          <w:rFonts w:ascii="Times New Roman" w:hAnsi="Times New Roman"/>
          <w:b w:val="0"/>
          <w:i w:val="0"/>
          <w:sz w:val="23"/>
        </w:rPr>
        <w:t>Navigate: Catalog → payment-service → Overview.</w:t>
      </w:r>
    </w:p>
    <w:p>
      <w:r>
        <w:rPr>
          <w:rFonts w:ascii="Times New Roman" w:hAnsi="Times New Roman"/>
          <w:b w:val="0"/>
          <w:i w:val="0"/>
          <w:sz w:val="23"/>
        </w:rPr>
        <w:t>Verify:</w:t>
      </w:r>
    </w:p>
    <w:p>
      <w:pPr>
        <w:pStyle w:val="ListBullet"/>
        <w:spacing w:after="40"/>
      </w:pPr>
      <w:r>
        <w:rPr>
          <w:rFonts w:ascii="Times New Roman" w:hAnsi="Times New Roman"/>
          <w:b w:val="0"/>
          <w:i w:val="0"/>
          <w:sz w:val="22"/>
        </w:rPr>
        <w:t>Component type is service.</w:t>
      </w:r>
    </w:p>
    <w:p>
      <w:pPr>
        <w:pStyle w:val="ListBullet"/>
        <w:spacing w:after="40"/>
      </w:pPr>
      <w:r>
        <w:rPr>
          <w:rFonts w:ascii="Times New Roman" w:hAnsi="Times New Roman"/>
          <w:b w:val="0"/>
          <w:i w:val="0"/>
          <w:sz w:val="22"/>
        </w:rPr>
        <w:t>Lifecycle is development.</w:t>
      </w:r>
    </w:p>
    <w:p>
      <w:pPr>
        <w:pStyle w:val="ListBullet"/>
        <w:spacing w:after="40"/>
      </w:pPr>
      <w:r>
        <w:rPr>
          <w:rFonts w:ascii="Times New Roman" w:hAnsi="Times New Roman"/>
          <w:b w:val="0"/>
          <w:i w:val="0"/>
          <w:sz w:val="22"/>
        </w:rPr>
        <w:t>Owner is payments-team.</w:t>
      </w:r>
    </w:p>
    <w:p>
      <w:pPr>
        <w:pStyle w:val="ListBullet"/>
        <w:spacing w:after="40"/>
      </w:pPr>
      <w:r>
        <w:rPr>
          <w:rFonts w:ascii="Times New Roman" w:hAnsi="Times New Roman"/>
          <w:b w:val="0"/>
          <w:i w:val="0"/>
          <w:sz w:val="22"/>
        </w:rPr>
        <w:t>The TechDocs tab is visible.</w:t>
      </w:r>
    </w:p>
    <w:p>
      <w:pPr>
        <w:pStyle w:val="Heading1"/>
        <w:keepNext/>
      </w:pPr>
      <w:r>
        <w:t>Step 16 – Open TechDocs</w:t>
      </w:r>
    </w:p>
    <w:p>
      <w:r>
        <w:rPr>
          <w:rFonts w:ascii="Times New Roman" w:hAnsi="Times New Roman"/>
          <w:b w:val="0"/>
          <w:i w:val="0"/>
          <w:sz w:val="23"/>
        </w:rPr>
        <w:t>Select the TechDocs/Docs tab for the service.</w:t>
      </w:r>
    </w:p>
    <w:p>
      <w:r>
        <w:rPr>
          <w:rFonts w:ascii="Times New Roman" w:hAnsi="Times New Roman"/>
          <w:b w:val="0"/>
          <w:i w:val="0"/>
          <w:sz w:val="23"/>
        </w:rPr>
        <w:t>On the first request, the local TechDocs builder performs three stages: Prepare, Generate, and Publish. The build can take longer the first time because the TechDocs Docker image may need to be pulled.</w:t>
      </w:r>
    </w:p>
    <w:p>
      <w:r>
        <w:rPr>
          <w:rFonts w:ascii="Times New Roman" w:hAnsi="Times New Roman"/>
          <w:b w:val="0"/>
          <w:i w:val="0"/>
          <w:sz w:val="23"/>
        </w:rPr>
        <w:t>Expected result: the documentation site opens and provides navigation to:</w:t>
      </w:r>
    </w:p>
    <w:p>
      <w:pPr>
        <w:pStyle w:val="ListBullet"/>
        <w:spacing w:after="40"/>
      </w:pPr>
      <w:r>
        <w:rPr>
          <w:rFonts w:ascii="Times New Roman" w:hAnsi="Times New Roman"/>
          <w:b w:val="0"/>
          <w:i w:val="0"/>
          <w:sz w:val="22"/>
        </w:rPr>
        <w:t>Home</w:t>
      </w:r>
    </w:p>
    <w:p>
      <w:pPr>
        <w:pStyle w:val="ListBullet"/>
        <w:spacing w:after="40"/>
      </w:pPr>
      <w:r>
        <w:rPr>
          <w:rFonts w:ascii="Times New Roman" w:hAnsi="Times New Roman"/>
          <w:b w:val="0"/>
          <w:i w:val="0"/>
          <w:sz w:val="22"/>
        </w:rPr>
        <w:t>Getting Started</w:t>
      </w:r>
    </w:p>
    <w:p>
      <w:pPr>
        <w:pStyle w:val="ListBullet"/>
        <w:spacing w:after="40"/>
      </w:pPr>
      <w:r>
        <w:rPr>
          <w:rFonts w:ascii="Times New Roman" w:hAnsi="Times New Roman"/>
          <w:b w:val="0"/>
          <w:i w:val="0"/>
          <w:sz w:val="22"/>
        </w:rPr>
        <w:t>Architecture</w:t>
      </w:r>
    </w:p>
    <w:p>
      <w:pPr>
        <w:pStyle w:val="ListBullet"/>
        <w:spacing w:after="40"/>
      </w:pPr>
      <w:r>
        <w:rPr>
          <w:rFonts w:ascii="Times New Roman" w:hAnsi="Times New Roman"/>
          <w:b w:val="0"/>
          <w:i w:val="0"/>
          <w:sz w:val="22"/>
        </w:rPr>
        <w:t>API &amp; Endpoints</w:t>
      </w:r>
    </w:p>
    <w:p>
      <w:pPr>
        <w:pStyle w:val="ListBullet"/>
        <w:spacing w:after="40"/>
      </w:pPr>
      <w:r>
        <w:rPr>
          <w:rFonts w:ascii="Times New Roman" w:hAnsi="Times New Roman"/>
          <w:b w:val="0"/>
          <w:i w:val="0"/>
          <w:sz w:val="22"/>
        </w:rPr>
        <w:t>Operations</w:t>
      </w:r>
    </w:p>
    <w:p>
      <w:pPr>
        <w:pStyle w:val="ListBullet"/>
        <w:spacing w:after="40"/>
      </w:pPr>
      <w:r>
        <w:rPr>
          <w:rFonts w:ascii="Times New Roman" w:hAnsi="Times New Roman"/>
          <w:b w:val="0"/>
          <w:i w:val="0"/>
          <w:sz w:val="22"/>
        </w:rPr>
        <w:t>Troubleshooting</w:t>
      </w:r>
    </w:p>
    <w:p>
      <w:r>
        <w:rPr>
          <w:rFonts w:ascii="Times New Roman" w:hAnsi="Times New Roman"/>
          <w:b w:val="0"/>
          <w:i w:val="0"/>
          <w:sz w:val="23"/>
        </w:rPr>
        <w:t>Verify that the rendered values include:</w:t>
      </w:r>
    </w:p>
    <w:p>
      <w:pPr>
        <w:pStyle w:val="ListBullet"/>
        <w:spacing w:after="40"/>
      </w:pPr>
      <w:r>
        <w:rPr>
          <w:rFonts w:ascii="Times New Roman" w:hAnsi="Times New Roman"/>
          <w:b w:val="0"/>
          <w:i w:val="0"/>
          <w:sz w:val="22"/>
        </w:rPr>
        <w:t>Service: payment-service</w:t>
      </w:r>
    </w:p>
    <w:p>
      <w:pPr>
        <w:pStyle w:val="ListBullet"/>
        <w:spacing w:after="40"/>
      </w:pPr>
      <w:r>
        <w:rPr>
          <w:rFonts w:ascii="Times New Roman" w:hAnsi="Times New Roman"/>
          <w:b w:val="0"/>
          <w:i w:val="0"/>
          <w:sz w:val="22"/>
        </w:rPr>
        <w:t>Owner: payments-team</w:t>
      </w:r>
    </w:p>
    <w:p>
      <w:pPr>
        <w:pStyle w:val="ListBullet"/>
        <w:spacing w:after="40"/>
      </w:pPr>
      <w:r>
        <w:rPr>
          <w:rFonts w:ascii="Times New Roman" w:hAnsi="Times New Roman"/>
          <w:b w:val="0"/>
          <w:i w:val="0"/>
          <w:sz w:val="22"/>
        </w:rPr>
        <w:t>Port: 8085</w:t>
      </w:r>
    </w:p>
    <w:p>
      <w:pPr>
        <w:pStyle w:val="ListBullet"/>
        <w:spacing w:after="40"/>
      </w:pPr>
      <w:r>
        <w:rPr>
          <w:rFonts w:ascii="Times New Roman" w:hAnsi="Times New Roman"/>
          <w:b w:val="0"/>
          <w:i w:val="0"/>
          <w:sz w:val="22"/>
        </w:rPr>
        <w:t>/health</w:t>
      </w:r>
    </w:p>
    <w:p>
      <w:pPr>
        <w:pStyle w:val="ListBullet"/>
        <w:spacing w:after="40"/>
      </w:pPr>
      <w:r>
        <w:rPr>
          <w:rFonts w:ascii="Times New Roman" w:hAnsi="Times New Roman"/>
          <w:b w:val="0"/>
          <w:i w:val="0"/>
          <w:sz w:val="22"/>
        </w:rPr>
        <w:t>/metrics</w:t>
      </w:r>
    </w:p>
    <w:p>
      <w:pPr>
        <w:pStyle w:val="Heading1"/>
        <w:keepNext/>
      </w:pPr>
      <w:r>
        <w:t>Step 17 – Explore TechDocs Features Demonstrated by This Lab</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shd w:fill="D9EAF7"/>
            <w:tcMar>
              <w:top w:w="80" w:type="dxa"/>
              <w:start w:w="100" w:type="dxa"/>
              <w:bottom w:w="80" w:type="dxa"/>
              <w:end w:w="100" w:type="dxa"/>
            </w:tcMar>
          </w:tcPr>
          <w:p>
            <w:r>
              <w:rPr>
                <w:rFonts w:ascii="Times New Roman" w:hAnsi="Times New Roman"/>
                <w:b/>
                <w:i w:val="0"/>
                <w:sz w:val="19"/>
              </w:rPr>
              <w:t>Feature</w:t>
            </w:r>
          </w:p>
        </w:tc>
        <w:tc>
          <w:tcPr>
            <w:tcW w:type="dxa" w:w="3312"/>
            <w:shd w:fill="D9EAF7"/>
            <w:tcMar>
              <w:top w:w="80" w:type="dxa"/>
              <w:start w:w="100" w:type="dxa"/>
              <w:bottom w:w="80" w:type="dxa"/>
              <w:end w:w="100" w:type="dxa"/>
            </w:tcMar>
          </w:tcPr>
          <w:p>
            <w:r>
              <w:rPr>
                <w:rFonts w:ascii="Times New Roman" w:hAnsi="Times New Roman"/>
                <w:b/>
                <w:i w:val="0"/>
                <w:sz w:val="19"/>
              </w:rPr>
              <w:t>Where It Appears</w:t>
            </w:r>
          </w:p>
        </w:tc>
        <w:tc>
          <w:tcPr>
            <w:tcW w:type="dxa" w:w="3312"/>
            <w:shd w:fill="D9EAF7"/>
            <w:tcMar>
              <w:top w:w="80" w:type="dxa"/>
              <w:start w:w="100" w:type="dxa"/>
              <w:bottom w:w="80" w:type="dxa"/>
              <w:end w:w="100" w:type="dxa"/>
            </w:tcMar>
          </w:tcPr>
          <w:p>
            <w:r>
              <w:rPr>
                <w:rFonts w:ascii="Times New Roman" w:hAnsi="Times New Roman"/>
                <w:b/>
                <w:i w:val="0"/>
                <w:sz w:val="19"/>
              </w:rPr>
              <w:t>Platform Value</w:t>
            </w:r>
          </w:p>
        </w:tc>
      </w:tr>
      <w:tr>
        <w:trPr>
          <w:cantSplit/>
        </w:trPr>
        <w:tc>
          <w:tcPr>
            <w:tcW w:type="dxa" w:w="3312"/>
            <w:tcMar>
              <w:top w:w="80" w:type="dxa"/>
              <w:start w:w="100" w:type="dxa"/>
              <w:bottom w:w="80" w:type="dxa"/>
              <w:end w:w="100" w:type="dxa"/>
            </w:tcMar>
          </w:tcPr>
          <w:p>
            <w:r>
              <w:rPr>
                <w:rFonts w:ascii="Times New Roman" w:hAnsi="Times New Roman"/>
                <w:b w:val="0"/>
                <w:i w:val="0"/>
                <w:sz w:val="19"/>
              </w:rPr>
              <w:t>Multi-page navigation</w:t>
            </w:r>
          </w:p>
        </w:tc>
        <w:tc>
          <w:tcPr>
            <w:tcW w:type="dxa" w:w="3312"/>
            <w:tcMar>
              <w:top w:w="80" w:type="dxa"/>
              <w:start w:w="100" w:type="dxa"/>
              <w:bottom w:w="80" w:type="dxa"/>
              <w:end w:w="100" w:type="dxa"/>
            </w:tcMar>
          </w:tcPr>
          <w:p>
            <w:r>
              <w:rPr>
                <w:rFonts w:ascii="Times New Roman" w:hAnsi="Times New Roman"/>
                <w:b w:val="0"/>
                <w:i w:val="0"/>
                <w:sz w:val="19"/>
              </w:rPr>
              <w:t>mkdocs.yml nav</w:t>
            </w:r>
          </w:p>
        </w:tc>
        <w:tc>
          <w:tcPr>
            <w:tcW w:type="dxa" w:w="3312"/>
            <w:tcMar>
              <w:top w:w="80" w:type="dxa"/>
              <w:start w:w="100" w:type="dxa"/>
              <w:bottom w:w="80" w:type="dxa"/>
              <w:end w:w="100" w:type="dxa"/>
            </w:tcMar>
          </w:tcPr>
          <w:p>
            <w:r>
              <w:rPr>
                <w:rFonts w:ascii="Times New Roman" w:hAnsi="Times New Roman"/>
                <w:b w:val="0"/>
                <w:i w:val="0"/>
                <w:sz w:val="19"/>
              </w:rPr>
              <w:t>Consistent information architecture across services.</w:t>
            </w:r>
          </w:p>
        </w:tc>
      </w:tr>
      <w:tr>
        <w:trPr>
          <w:cantSplit/>
        </w:trPr>
        <w:tc>
          <w:tcPr>
            <w:tcW w:type="dxa" w:w="3312"/>
            <w:tcMar>
              <w:top w:w="80" w:type="dxa"/>
              <w:start w:w="100" w:type="dxa"/>
              <w:bottom w:w="80" w:type="dxa"/>
              <w:end w:w="100" w:type="dxa"/>
            </w:tcMar>
          </w:tcPr>
          <w:p>
            <w:r>
              <w:rPr>
                <w:rFonts w:ascii="Times New Roman" w:hAnsi="Times New Roman"/>
                <w:b w:val="0"/>
                <w:i w:val="0"/>
                <w:sz w:val="19"/>
              </w:rPr>
              <w:t>Markdown headings</w:t>
            </w:r>
          </w:p>
        </w:tc>
        <w:tc>
          <w:tcPr>
            <w:tcW w:type="dxa" w:w="3312"/>
            <w:tcMar>
              <w:top w:w="80" w:type="dxa"/>
              <w:start w:w="100" w:type="dxa"/>
              <w:bottom w:w="80" w:type="dxa"/>
              <w:end w:w="100" w:type="dxa"/>
            </w:tcMar>
          </w:tcPr>
          <w:p>
            <w:r>
              <w:rPr>
                <w:rFonts w:ascii="Times New Roman" w:hAnsi="Times New Roman"/>
                <w:b w:val="0"/>
                <w:i w:val="0"/>
                <w:sz w:val="19"/>
              </w:rPr>
              <w:t>All docs pages</w:t>
            </w:r>
          </w:p>
        </w:tc>
        <w:tc>
          <w:tcPr>
            <w:tcW w:type="dxa" w:w="3312"/>
            <w:tcMar>
              <w:top w:w="80" w:type="dxa"/>
              <w:start w:w="100" w:type="dxa"/>
              <w:bottom w:w="80" w:type="dxa"/>
              <w:end w:w="100" w:type="dxa"/>
            </w:tcMar>
          </w:tcPr>
          <w:p>
            <w:r>
              <w:rPr>
                <w:rFonts w:ascii="Times New Roman" w:hAnsi="Times New Roman"/>
                <w:b w:val="0"/>
                <w:i w:val="0"/>
                <w:sz w:val="19"/>
              </w:rPr>
              <w:t>Readable, structured documentation.</w:t>
            </w:r>
          </w:p>
        </w:tc>
      </w:tr>
      <w:tr>
        <w:trPr>
          <w:cantSplit/>
        </w:trPr>
        <w:tc>
          <w:tcPr>
            <w:tcW w:type="dxa" w:w="3312"/>
            <w:tcMar>
              <w:top w:w="80" w:type="dxa"/>
              <w:start w:w="100" w:type="dxa"/>
              <w:bottom w:w="80" w:type="dxa"/>
              <w:end w:w="100" w:type="dxa"/>
            </w:tcMar>
          </w:tcPr>
          <w:p>
            <w:r>
              <w:rPr>
                <w:rFonts w:ascii="Times New Roman" w:hAnsi="Times New Roman"/>
                <w:b w:val="0"/>
                <w:i w:val="0"/>
                <w:sz w:val="19"/>
              </w:rPr>
              <w:t>Tables</w:t>
            </w:r>
          </w:p>
        </w:tc>
        <w:tc>
          <w:tcPr>
            <w:tcW w:type="dxa" w:w="3312"/>
            <w:tcMar>
              <w:top w:w="80" w:type="dxa"/>
              <w:start w:w="100" w:type="dxa"/>
              <w:bottom w:w="80" w:type="dxa"/>
              <w:end w:w="100" w:type="dxa"/>
            </w:tcMar>
          </w:tcPr>
          <w:p>
            <w:r>
              <w:rPr>
                <w:rFonts w:ascii="Times New Roman" w:hAnsi="Times New Roman"/>
                <w:b w:val="0"/>
                <w:i w:val="0"/>
                <w:sz w:val="19"/>
              </w:rPr>
              <w:t>Home and API pages</w:t>
            </w:r>
          </w:p>
        </w:tc>
        <w:tc>
          <w:tcPr>
            <w:tcW w:type="dxa" w:w="3312"/>
            <w:tcMar>
              <w:top w:w="80" w:type="dxa"/>
              <w:start w:w="100" w:type="dxa"/>
              <w:bottom w:w="80" w:type="dxa"/>
              <w:end w:w="100" w:type="dxa"/>
            </w:tcMar>
          </w:tcPr>
          <w:p>
            <w:r>
              <w:rPr>
                <w:rFonts w:ascii="Times New Roman" w:hAnsi="Times New Roman"/>
                <w:b w:val="0"/>
                <w:i w:val="0"/>
                <w:sz w:val="19"/>
              </w:rPr>
              <w:t>Quickly communicates service metadata and endpoints.</w:t>
            </w:r>
          </w:p>
        </w:tc>
      </w:tr>
      <w:tr>
        <w:trPr>
          <w:cantSplit/>
        </w:trPr>
        <w:tc>
          <w:tcPr>
            <w:tcW w:type="dxa" w:w="3312"/>
            <w:tcMar>
              <w:top w:w="80" w:type="dxa"/>
              <w:start w:w="100" w:type="dxa"/>
              <w:bottom w:w="80" w:type="dxa"/>
              <w:end w:w="100" w:type="dxa"/>
            </w:tcMar>
          </w:tcPr>
          <w:p>
            <w:r>
              <w:rPr>
                <w:rFonts w:ascii="Times New Roman" w:hAnsi="Times New Roman"/>
                <w:b w:val="0"/>
                <w:i w:val="0"/>
                <w:sz w:val="19"/>
              </w:rPr>
              <w:t>Code blocks</w:t>
            </w:r>
          </w:p>
        </w:tc>
        <w:tc>
          <w:tcPr>
            <w:tcW w:type="dxa" w:w="3312"/>
            <w:tcMar>
              <w:top w:w="80" w:type="dxa"/>
              <w:start w:w="100" w:type="dxa"/>
              <w:bottom w:w="80" w:type="dxa"/>
              <w:end w:w="100" w:type="dxa"/>
            </w:tcMar>
          </w:tcPr>
          <w:p>
            <w:r>
              <w:rPr>
                <w:rFonts w:ascii="Times New Roman" w:hAnsi="Times New Roman"/>
                <w:b w:val="0"/>
                <w:i w:val="0"/>
                <w:sz w:val="19"/>
              </w:rPr>
              <w:t>Getting Started, Operations, Troubleshooting</w:t>
            </w:r>
          </w:p>
        </w:tc>
        <w:tc>
          <w:tcPr>
            <w:tcW w:type="dxa" w:w="3312"/>
            <w:tcMar>
              <w:top w:w="80" w:type="dxa"/>
              <w:start w:w="100" w:type="dxa"/>
              <w:bottom w:w="80" w:type="dxa"/>
              <w:end w:w="100" w:type="dxa"/>
            </w:tcMar>
          </w:tcPr>
          <w:p>
            <w:r>
              <w:rPr>
                <w:rFonts w:ascii="Times New Roman" w:hAnsi="Times New Roman"/>
                <w:b w:val="0"/>
                <w:i w:val="0"/>
                <w:sz w:val="19"/>
              </w:rPr>
              <w:t>Copyable commands and examples.</w:t>
            </w:r>
          </w:p>
        </w:tc>
      </w:tr>
      <w:tr>
        <w:trPr>
          <w:cantSplit/>
        </w:trPr>
        <w:tc>
          <w:tcPr>
            <w:tcW w:type="dxa" w:w="3312"/>
            <w:tcMar>
              <w:top w:w="80" w:type="dxa"/>
              <w:start w:w="100" w:type="dxa"/>
              <w:bottom w:w="80" w:type="dxa"/>
              <w:end w:w="100" w:type="dxa"/>
            </w:tcMar>
          </w:tcPr>
          <w:p>
            <w:r>
              <w:rPr>
                <w:rFonts w:ascii="Times New Roman" w:hAnsi="Times New Roman"/>
                <w:b w:val="0"/>
                <w:i w:val="0"/>
                <w:sz w:val="19"/>
              </w:rPr>
              <w:t>Internal documentation links</w:t>
            </w:r>
          </w:p>
        </w:tc>
        <w:tc>
          <w:tcPr>
            <w:tcW w:type="dxa" w:w="3312"/>
            <w:tcMar>
              <w:top w:w="80" w:type="dxa"/>
              <w:start w:w="100" w:type="dxa"/>
              <w:bottom w:w="80" w:type="dxa"/>
              <w:end w:w="100" w:type="dxa"/>
            </w:tcMar>
          </w:tcPr>
          <w:p>
            <w:r>
              <w:rPr>
                <w:rFonts w:ascii="Times New Roman" w:hAnsi="Times New Roman"/>
                <w:b w:val="0"/>
                <w:i w:val="0"/>
                <w:sz w:val="19"/>
              </w:rPr>
              <w:t>Home page</w:t>
            </w:r>
          </w:p>
        </w:tc>
        <w:tc>
          <w:tcPr>
            <w:tcW w:type="dxa" w:w="3312"/>
            <w:tcMar>
              <w:top w:w="80" w:type="dxa"/>
              <w:start w:w="100" w:type="dxa"/>
              <w:bottom w:w="80" w:type="dxa"/>
              <w:end w:w="100" w:type="dxa"/>
            </w:tcMar>
          </w:tcPr>
          <w:p>
            <w:r>
              <w:rPr>
                <w:rFonts w:ascii="Times New Roman" w:hAnsi="Times New Roman"/>
                <w:b w:val="0"/>
                <w:i w:val="0"/>
                <w:sz w:val="19"/>
              </w:rPr>
              <w:t>Faster onboarding and discovery.</w:t>
            </w:r>
          </w:p>
        </w:tc>
      </w:tr>
      <w:tr>
        <w:trPr>
          <w:cantSplit/>
        </w:trPr>
        <w:tc>
          <w:tcPr>
            <w:tcW w:type="dxa" w:w="3312"/>
            <w:tcMar>
              <w:top w:w="80" w:type="dxa"/>
              <w:start w:w="100" w:type="dxa"/>
              <w:bottom w:w="80" w:type="dxa"/>
              <w:end w:w="100" w:type="dxa"/>
            </w:tcMar>
          </w:tcPr>
          <w:p>
            <w:r>
              <w:rPr>
                <w:rFonts w:ascii="Times New Roman" w:hAnsi="Times New Roman"/>
                <w:b w:val="0"/>
                <w:i w:val="0"/>
                <w:sz w:val="19"/>
              </w:rPr>
              <w:t>Catalog ownership</w:t>
            </w:r>
          </w:p>
        </w:tc>
        <w:tc>
          <w:tcPr>
            <w:tcW w:type="dxa" w:w="3312"/>
            <w:tcMar>
              <w:top w:w="80" w:type="dxa"/>
              <w:start w:w="100" w:type="dxa"/>
              <w:bottom w:w="80" w:type="dxa"/>
              <w:end w:w="100" w:type="dxa"/>
            </w:tcMar>
          </w:tcPr>
          <w:p>
            <w:r>
              <w:rPr>
                <w:rFonts w:ascii="Times New Roman" w:hAnsi="Times New Roman"/>
                <w:b w:val="0"/>
                <w:i w:val="0"/>
                <w:sz w:val="19"/>
              </w:rPr>
              <w:t>catalog-info.yaml and rendered docs</w:t>
            </w:r>
          </w:p>
        </w:tc>
        <w:tc>
          <w:tcPr>
            <w:tcW w:type="dxa" w:w="3312"/>
            <w:tcMar>
              <w:top w:w="80" w:type="dxa"/>
              <w:start w:w="100" w:type="dxa"/>
              <w:bottom w:w="80" w:type="dxa"/>
              <w:end w:w="100" w:type="dxa"/>
            </w:tcMar>
          </w:tcPr>
          <w:p>
            <w:r>
              <w:rPr>
                <w:rFonts w:ascii="Times New Roman" w:hAnsi="Times New Roman"/>
                <w:b w:val="0"/>
                <w:i w:val="0"/>
                <w:sz w:val="19"/>
              </w:rPr>
              <w:t>Clear accountability.</w:t>
            </w:r>
          </w:p>
        </w:tc>
      </w:tr>
      <w:tr>
        <w:trPr>
          <w:cantSplit/>
        </w:trPr>
        <w:tc>
          <w:tcPr>
            <w:tcW w:type="dxa" w:w="3312"/>
            <w:tcMar>
              <w:top w:w="80" w:type="dxa"/>
              <w:start w:w="100" w:type="dxa"/>
              <w:bottom w:w="80" w:type="dxa"/>
              <w:end w:w="100" w:type="dxa"/>
            </w:tcMar>
          </w:tcPr>
          <w:p>
            <w:r>
              <w:rPr>
                <w:rFonts w:ascii="Times New Roman" w:hAnsi="Times New Roman"/>
                <w:b w:val="0"/>
                <w:i w:val="0"/>
                <w:sz w:val="19"/>
              </w:rPr>
              <w:t>Docs-as-code</w:t>
            </w:r>
          </w:p>
        </w:tc>
        <w:tc>
          <w:tcPr>
            <w:tcW w:type="dxa" w:w="3312"/>
            <w:tcMar>
              <w:top w:w="80" w:type="dxa"/>
              <w:start w:w="100" w:type="dxa"/>
              <w:bottom w:w="80" w:type="dxa"/>
              <w:end w:w="100" w:type="dxa"/>
            </w:tcMar>
          </w:tcPr>
          <w:p>
            <w:r>
              <w:rPr>
                <w:rFonts w:ascii="Times New Roman" w:hAnsi="Times New Roman"/>
                <w:b w:val="0"/>
                <w:i w:val="0"/>
                <w:sz w:val="19"/>
              </w:rPr>
              <w:t>docs/*.md in GitHub</w:t>
            </w:r>
          </w:p>
        </w:tc>
        <w:tc>
          <w:tcPr>
            <w:tcW w:type="dxa" w:w="3312"/>
            <w:tcMar>
              <w:top w:w="80" w:type="dxa"/>
              <w:start w:w="100" w:type="dxa"/>
              <w:bottom w:w="80" w:type="dxa"/>
              <w:end w:w="100" w:type="dxa"/>
            </w:tcMar>
          </w:tcPr>
          <w:p>
            <w:r>
              <w:rPr>
                <w:rFonts w:ascii="Times New Roman" w:hAnsi="Times New Roman"/>
                <w:b w:val="0"/>
                <w:i w:val="0"/>
                <w:sz w:val="19"/>
              </w:rPr>
              <w:t>Documentation changes are versioned with the service.</w:t>
            </w:r>
          </w:p>
        </w:tc>
      </w:tr>
      <w:tr>
        <w:trPr>
          <w:cantSplit/>
        </w:trPr>
        <w:tc>
          <w:tcPr>
            <w:tcW w:type="dxa" w:w="3312"/>
            <w:tcMar>
              <w:top w:w="80" w:type="dxa"/>
              <w:start w:w="100" w:type="dxa"/>
              <w:bottom w:w="80" w:type="dxa"/>
              <w:end w:w="100" w:type="dxa"/>
            </w:tcMar>
          </w:tcPr>
          <w:p>
            <w:r>
              <w:rPr>
                <w:rFonts w:ascii="Times New Roman" w:hAnsi="Times New Roman"/>
                <w:b w:val="0"/>
                <w:i w:val="0"/>
                <w:sz w:val="19"/>
              </w:rPr>
              <w:t>Golden Path defaults</w:t>
            </w:r>
          </w:p>
        </w:tc>
        <w:tc>
          <w:tcPr>
            <w:tcW w:type="dxa" w:w="3312"/>
            <w:tcMar>
              <w:top w:w="80" w:type="dxa"/>
              <w:start w:w="100" w:type="dxa"/>
              <w:bottom w:w="80" w:type="dxa"/>
              <w:end w:w="100" w:type="dxa"/>
            </w:tcMar>
          </w:tcPr>
          <w:p>
            <w:r>
              <w:rPr>
                <w:rFonts w:ascii="Times New Roman" w:hAnsi="Times New Roman"/>
                <w:b w:val="0"/>
                <w:i w:val="0"/>
                <w:sz w:val="19"/>
              </w:rPr>
              <w:t>Template skeleton</w:t>
            </w:r>
          </w:p>
        </w:tc>
        <w:tc>
          <w:tcPr>
            <w:tcW w:type="dxa" w:w="3312"/>
            <w:tcMar>
              <w:top w:w="80" w:type="dxa"/>
              <w:start w:w="100" w:type="dxa"/>
              <w:bottom w:w="80" w:type="dxa"/>
              <w:end w:w="100" w:type="dxa"/>
            </w:tcMar>
          </w:tcPr>
          <w:p>
            <w:r>
              <w:rPr>
                <w:rFonts w:ascii="Times New Roman" w:hAnsi="Times New Roman"/>
                <w:b w:val="0"/>
                <w:i w:val="0"/>
                <w:sz w:val="19"/>
              </w:rPr>
              <w:t>Every new service starts with the same minimum documentation standard.</w:t>
            </w:r>
          </w:p>
        </w:tc>
      </w:tr>
    </w:tbl>
    <w:p>
      <w:pPr>
        <w:spacing w:after="20"/>
      </w:pPr>
    </w:p>
    <w:tbl>
      <w:tblPr>
        <w:tblW w:type="auto" w:w="0"/>
        <w:jc w:val="left"/>
        <w:tblLook w:firstColumn="1" w:firstRow="1" w:lastColumn="0" w:lastRow="0" w:noHBand="0" w:noVBand="1" w:val="04A0"/>
      </w:tblPr>
      <w:tblGrid>
        <w:gridCol w:w="9936"/>
      </w:tblGrid>
      <w:tr>
        <w:tc>
          <w:tcPr>
            <w:tcW w:type="dxa" w:w="9936"/>
            <w:shd w:fill="EAF2F8"/>
            <w:tcMar>
              <w:top w:w="80" w:type="dxa"/>
              <w:start w:w="100" w:type="dxa"/>
              <w:bottom w:w="80" w:type="dxa"/>
              <w:end w:w="100" w:type="dxa"/>
            </w:tcMar>
          </w:tcPr>
          <w:p>
            <w:r>
              <w:rPr>
                <w:rFonts w:ascii="Times New Roman" w:hAnsi="Times New Roman"/>
                <w:b/>
                <w:i w:val="0"/>
                <w:sz w:val="22"/>
              </w:rPr>
              <w:t xml:space="preserve">Optional extension: </w:t>
            </w:r>
            <w:r>
              <w:rPr>
                <w:rFonts w:ascii="Times New Roman" w:hAnsi="Times New Roman"/>
                <w:b w:val="0"/>
                <w:i w:val="0"/>
                <w:sz w:val="22"/>
              </w:rPr>
              <w:t>If your Backstage environment has additional TechDocs addons or MkDocs plugins installed, you can extend the site with diagrams, richer search, or other features. Keep optional plugins out of the core lab unless the required runtime package is installed in the TechDocs generator image.</w:t>
            </w:r>
          </w:p>
        </w:tc>
      </w:tr>
    </w:tbl>
    <w:p>
      <w:pPr>
        <w:spacing w:after="20"/>
      </w:pPr>
    </w:p>
    <w:p>
      <w:pPr>
        <w:pStyle w:val="Heading1"/>
        <w:keepNext/>
      </w:pPr>
      <w:r>
        <w:t>Troubleshooting – Correct Fixes</w:t>
      </w:r>
    </w:p>
    <w:p>
      <w:r>
        <w:rPr>
          <w:rFonts w:ascii="Times New Roman" w:hAnsi="Times New Roman"/>
          <w:b w:val="0"/>
          <w:i w:val="0"/>
          <w:sz w:val="23"/>
        </w:rPr>
        <w:t>Use this section during the lab if TechDocs fails. Start from the exact error message instead of changing multiple settings at once.</w:t>
      </w:r>
    </w:p>
    <w:p>
      <w:pPr>
        <w:pStyle w:val="Heading2"/>
        <w:keepNext/>
      </w:pPr>
      <w:r>
        <w:t>Issue 1 – EACCES /var/run/docker.sock</w:t>
      </w:r>
    </w:p>
    <w:p>
      <w:r>
        <w:rPr>
          <w:rFonts w:ascii="Times New Roman" w:hAnsi="Times New Roman"/>
          <w:b w:val="0"/>
          <w:i w:val="0"/>
          <w:sz w:val="23"/>
        </w:rPr>
        <w:t>Typical error:</w:t>
      </w:r>
    </w:p>
    <w:tbl>
      <w:tblPr>
        <w:tblW w:type="auto" w:w="0"/>
        <w:jc w:val="left"/>
        <w:tblLayout w:type="autofit"/>
        <w:tblLook w:firstColumn="1" w:firstRow="1" w:lastColumn="0" w:lastRow="0" w:noHBand="0" w:noVBand="1" w:val="04A0"/>
      </w:tblPr>
      <w:tblGrid>
        <w:gridCol w:w="9936"/>
      </w:tblGrid>
      <w:tr>
        <w:tc>
          <w:tcPr>
            <w:tcW w:type="dxa" w:w="9936"/>
            <w:shd w:fill="F3F5F7"/>
            <w:tcMar>
              <w:top w:w="80" w:type="dxa"/>
              <w:start w:w="100" w:type="dxa"/>
              <w:bottom w:w="80" w:type="dxa"/>
              <w:end w:w="100" w:type="dxa"/>
            </w:tcMar>
          </w:tcPr>
          <w:p>
            <w:pPr>
              <w:pStyle w:val="CodeBlock"/>
              <w:keepLines/>
            </w:pPr>
            <w:r/>
            <w:r>
              <w:rPr>
                <w:rFonts w:ascii="Courier New" w:hAnsi="Courier New"/>
                <w:b w:val="0"/>
                <w:i w:val="0"/>
                <w:sz w:val="18"/>
              </w:rPr>
              <w:t>This operation requires Docker. Docker does not appear to be available.</w:t>
            </w:r>
          </w:p>
          <w:p>
            <w:pPr>
              <w:pStyle w:val="CodeBlock"/>
              <w:keepLines/>
            </w:pPr>
            <w:r>
              <w:rPr>
                <w:rFonts w:ascii="Courier New" w:hAnsi="Courier New"/>
                <w:b w:val="0"/>
                <w:i w:val="0"/>
                <w:sz w:val="18"/>
              </w:rPr>
              <w:t>Docker.ping() failed ... connect EACCES /var/run/docker.sock</w:t>
            </w:r>
          </w:p>
        </w:tc>
      </w:tr>
    </w:tbl>
    <w:p>
      <w:pPr>
        <w:spacing w:after="20"/>
      </w:pPr>
    </w:p>
    <w:p>
      <w:r>
        <w:rPr>
          <w:rFonts w:ascii="Times New Roman" w:hAnsi="Times New Roman"/>
          <w:b w:val="0"/>
          <w:i w:val="0"/>
          <w:sz w:val="23"/>
        </w:rPr>
        <w:t>Meaning: the Backstage backend process cannot access the Docker Unix socket.</w:t>
      </w:r>
    </w:p>
    <w:p>
      <w:r>
        <w:rPr>
          <w:rFonts w:ascii="Times New Roman" w:hAnsi="Times New Roman"/>
          <w:b w:val="0"/>
          <w:i w:val="0"/>
          <w:sz w:val="23"/>
        </w:rPr>
        <w:t>Correct fix:</w:t>
      </w:r>
    </w:p>
    <w:tbl>
      <w:tblPr>
        <w:tblW w:type="auto" w:w="0"/>
        <w:jc w:val="left"/>
        <w:tblLayout w:type="autofit"/>
        <w:tblLook w:firstColumn="1" w:firstRow="1" w:lastColumn="0" w:lastRow="0" w:noHBand="0" w:noVBand="1" w:val="04A0"/>
      </w:tblPr>
      <w:tblGrid>
        <w:gridCol w:w="9936"/>
      </w:tblGrid>
      <w:tr>
        <w:tc>
          <w:tcPr>
            <w:tcW w:type="dxa" w:w="9936"/>
            <w:shd w:fill="F3F5F7"/>
            <w:tcMar>
              <w:top w:w="80" w:type="dxa"/>
              <w:start w:w="100" w:type="dxa"/>
              <w:bottom w:w="80" w:type="dxa"/>
              <w:end w:w="100" w:type="dxa"/>
            </w:tcMar>
          </w:tcPr>
          <w:p>
            <w:pPr>
              <w:pStyle w:val="CodeBlock"/>
              <w:keepLines/>
            </w:pPr>
            <w:r/>
            <w:r>
              <w:rPr>
                <w:rFonts w:ascii="Courier New" w:hAnsi="Courier New"/>
                <w:b w:val="0"/>
                <w:i w:val="0"/>
                <w:sz w:val="18"/>
              </w:rPr>
              <w:t>getent group docker || sudo groupadd docker</w:t>
            </w:r>
          </w:p>
          <w:p>
            <w:pPr>
              <w:pStyle w:val="CodeBlock"/>
              <w:keepLines/>
            </w:pPr>
            <w:r>
              <w:rPr>
                <w:rFonts w:ascii="Courier New" w:hAnsi="Courier New"/>
                <w:b w:val="0"/>
                <w:i w:val="0"/>
                <w:sz w:val="18"/>
              </w:rPr>
              <w:t>sudo usermod -aG docker $USER</w:t>
            </w:r>
          </w:p>
          <w:p>
            <w:pPr>
              <w:pStyle w:val="CodeBlock"/>
              <w:keepLines/>
            </w:pPr>
            <w:r>
              <w:rPr>
                <w:rFonts w:ascii="Courier New" w:hAnsi="Courier New"/>
                <w:b w:val="0"/>
                <w:i w:val="0"/>
                <w:sz w:val="18"/>
              </w:rPr>
              <w:t>exit</w:t>
            </w:r>
          </w:p>
          <w:p>
            <w:pPr>
              <w:pStyle w:val="CodeBlock"/>
              <w:keepLines/>
            </w:pPr>
            <w:r>
              <w:rPr>
                <w:rFonts w:ascii="Courier New" w:hAnsi="Courier New"/>
                <w:b w:val="0"/>
                <w:i w:val="0"/>
                <w:sz w:val="18"/>
              </w:rPr>
              <w:t># reconnect</w:t>
            </w:r>
          </w:p>
          <w:p>
            <w:pPr>
              <w:pStyle w:val="CodeBlock"/>
              <w:keepLines/>
            </w:pPr>
            <w:r>
              <w:rPr>
                <w:rFonts w:ascii="Courier New" w:hAnsi="Courier New"/>
                <w:b w:val="0"/>
                <w:i w:val="0"/>
                <w:sz w:val="18"/>
              </w:rPr>
              <w:t>id</w:t>
            </w:r>
          </w:p>
          <w:p>
            <w:pPr>
              <w:pStyle w:val="CodeBlock"/>
              <w:keepLines/>
            </w:pPr>
            <w:r>
              <w:rPr>
                <w:rFonts w:ascii="Courier New" w:hAnsi="Courier New"/>
                <w:b w:val="0"/>
                <w:i w:val="0"/>
                <w:sz w:val="18"/>
              </w:rPr>
              <w:t>docker ps</w:t>
            </w:r>
          </w:p>
        </w:tc>
      </w:tr>
    </w:tbl>
    <w:p>
      <w:pPr>
        <w:spacing w:after="20"/>
      </w:pPr>
    </w:p>
    <w:p>
      <w:r>
        <w:rPr>
          <w:rFonts w:ascii="Times New Roman" w:hAnsi="Times New Roman"/>
          <w:b w:val="0"/>
          <w:i w:val="0"/>
          <w:sz w:val="23"/>
        </w:rPr>
        <w:t>Then stop the old Backstage process and start a new one from the reconnected session:</w:t>
      </w:r>
    </w:p>
    <w:tbl>
      <w:tblPr>
        <w:tblW w:type="auto" w:w="0"/>
        <w:jc w:val="left"/>
        <w:tblLayout w:type="autofit"/>
        <w:tblLook w:firstColumn="1" w:firstRow="1" w:lastColumn="0" w:lastRow="0" w:noHBand="0" w:noVBand="1" w:val="04A0"/>
      </w:tblPr>
      <w:tblGrid>
        <w:gridCol w:w="9936"/>
      </w:tblGrid>
      <w:tr>
        <w:tc>
          <w:tcPr>
            <w:tcW w:type="dxa" w:w="9936"/>
            <w:shd w:fill="F3F5F7"/>
            <w:tcMar>
              <w:top w:w="80" w:type="dxa"/>
              <w:start w:w="100" w:type="dxa"/>
              <w:bottom w:w="80" w:type="dxa"/>
              <w:end w:w="100" w:type="dxa"/>
            </w:tcMar>
          </w:tcPr>
          <w:p>
            <w:pPr>
              <w:pStyle w:val="CodeBlock"/>
              <w:keepLines/>
            </w:pPr>
            <w:r/>
            <w:r>
              <w:rPr>
                <w:rFonts w:ascii="Courier New" w:hAnsi="Courier New"/>
                <w:b w:val="0"/>
                <w:i w:val="0"/>
                <w:sz w:val="18"/>
              </w:rPr>
              <w:t>cd ~/raman-idp</w:t>
            </w:r>
          </w:p>
          <w:p>
            <w:pPr>
              <w:pStyle w:val="CodeBlock"/>
              <w:keepLines/>
            </w:pPr>
            <w:r>
              <w:rPr>
                <w:rFonts w:ascii="Courier New" w:hAnsi="Courier New"/>
                <w:b w:val="0"/>
                <w:i w:val="0"/>
                <w:sz w:val="18"/>
              </w:rPr>
              <w:t>yarn start</w:t>
            </w:r>
          </w:p>
        </w:tc>
      </w:tr>
    </w:tbl>
    <w:p>
      <w:pPr>
        <w:spacing w:after="20"/>
      </w:pPr>
    </w:p>
    <w:tbl>
      <w:tblPr>
        <w:tblW w:type="auto" w:w="0"/>
        <w:jc w:val="left"/>
        <w:tblLook w:firstColumn="1" w:firstRow="1" w:lastColumn="0" w:lastRow="0" w:noHBand="0" w:noVBand="1" w:val="04A0"/>
      </w:tblPr>
      <w:tblGrid>
        <w:gridCol w:w="9936"/>
      </w:tblGrid>
      <w:tr>
        <w:tc>
          <w:tcPr>
            <w:tcW w:type="dxa" w:w="9936"/>
            <w:shd w:fill="FFF2CC"/>
            <w:tcMar>
              <w:top w:w="80" w:type="dxa"/>
              <w:start w:w="100" w:type="dxa"/>
              <w:bottom w:w="80" w:type="dxa"/>
              <w:end w:w="100" w:type="dxa"/>
            </w:tcMar>
          </w:tcPr>
          <w:p>
            <w:r>
              <w:rPr>
                <w:rFonts w:ascii="Times New Roman" w:hAnsi="Times New Roman"/>
                <w:b/>
                <w:i w:val="0"/>
                <w:sz w:val="22"/>
              </w:rPr>
              <w:t xml:space="preserve">Why this matters: </w:t>
            </w:r>
            <w:r>
              <w:rPr>
                <w:rFonts w:ascii="Times New Roman" w:hAnsi="Times New Roman"/>
                <w:b w:val="0"/>
                <w:i w:val="0"/>
                <w:sz w:val="22"/>
              </w:rPr>
              <w:t>Adding a user to a Linux group does not change group membership of an already-running Backstage/Node process. The process must be restarted after a new login session loads the docker group.</w:t>
            </w:r>
          </w:p>
        </w:tc>
      </w:tr>
    </w:tbl>
    <w:p>
      <w:pPr>
        <w:spacing w:after="20"/>
      </w:pPr>
    </w:p>
    <w:p>
      <w:pPr>
        <w:pStyle w:val="Heading3"/>
        <w:keepNext/>
      </w:pPr>
      <w:r>
        <w:t>Advanced Verification – Does the Running Backstage Process Have the Docker Group?</w:t>
      </w:r>
    </w:p>
    <w:p>
      <w:r>
        <w:rPr>
          <w:rFonts w:ascii="Times New Roman" w:hAnsi="Times New Roman"/>
          <w:b w:val="0"/>
          <w:i w:val="0"/>
          <w:sz w:val="23"/>
        </w:rPr>
        <w:t>First obtain the Docker group ID:</w:t>
      </w:r>
    </w:p>
    <w:tbl>
      <w:tblPr>
        <w:tblW w:type="auto" w:w="0"/>
        <w:jc w:val="left"/>
        <w:tblLayout w:type="autofit"/>
        <w:tblLook w:firstColumn="1" w:firstRow="1" w:lastColumn="0" w:lastRow="0" w:noHBand="0" w:noVBand="1" w:val="04A0"/>
      </w:tblPr>
      <w:tblGrid>
        <w:gridCol w:w="9936"/>
      </w:tblGrid>
      <w:tr>
        <w:tc>
          <w:tcPr>
            <w:tcW w:type="dxa" w:w="9936"/>
            <w:shd w:fill="F3F5F7"/>
            <w:tcMar>
              <w:top w:w="80" w:type="dxa"/>
              <w:start w:w="100" w:type="dxa"/>
              <w:bottom w:w="80" w:type="dxa"/>
              <w:end w:w="100" w:type="dxa"/>
            </w:tcMar>
          </w:tcPr>
          <w:p>
            <w:pPr>
              <w:pStyle w:val="CodeBlock"/>
              <w:keepLines/>
            </w:pPr>
            <w:r/>
            <w:r>
              <w:rPr>
                <w:rFonts w:ascii="Courier New" w:hAnsi="Courier New"/>
                <w:b w:val="0"/>
                <w:i w:val="0"/>
                <w:sz w:val="18"/>
              </w:rPr>
              <w:t>getent group docker</w:t>
            </w:r>
          </w:p>
        </w:tc>
      </w:tr>
    </w:tbl>
    <w:p>
      <w:pPr>
        <w:spacing w:after="20"/>
      </w:pPr>
    </w:p>
    <w:p>
      <w:r>
        <w:rPr>
          <w:rFonts w:ascii="Times New Roman" w:hAnsi="Times New Roman"/>
          <w:b w:val="0"/>
          <w:i w:val="0"/>
          <w:sz w:val="23"/>
        </w:rPr>
        <w:t>Example: docker:x:109:ubuntu means the Docker GID is 109.</w:t>
      </w:r>
    </w:p>
    <w:p>
      <w:r>
        <w:rPr>
          <w:rFonts w:ascii="Times New Roman" w:hAnsi="Times New Roman"/>
          <w:b w:val="0"/>
          <w:i w:val="0"/>
          <w:sz w:val="23"/>
        </w:rPr>
        <w:t>Find the Backstage/Node process and inspect its groups:</w:t>
      </w:r>
    </w:p>
    <w:tbl>
      <w:tblPr>
        <w:tblW w:type="auto" w:w="0"/>
        <w:jc w:val="left"/>
        <w:tblLayout w:type="autofit"/>
        <w:tblLook w:firstColumn="1" w:firstRow="1" w:lastColumn="0" w:lastRow="0" w:noHBand="0" w:noVBand="1" w:val="04A0"/>
      </w:tblPr>
      <w:tblGrid>
        <w:gridCol w:w="9936"/>
      </w:tblGrid>
      <w:tr>
        <w:tc>
          <w:tcPr>
            <w:tcW w:type="dxa" w:w="9936"/>
            <w:shd w:fill="F3F5F7"/>
            <w:tcMar>
              <w:top w:w="80" w:type="dxa"/>
              <w:start w:w="100" w:type="dxa"/>
              <w:bottom w:w="80" w:type="dxa"/>
              <w:end w:w="100" w:type="dxa"/>
            </w:tcMar>
          </w:tcPr>
          <w:p>
            <w:pPr>
              <w:pStyle w:val="CodeBlock"/>
              <w:keepLines/>
            </w:pPr>
            <w:r/>
            <w:r>
              <w:rPr>
                <w:rFonts w:ascii="Courier New" w:hAnsi="Courier New"/>
                <w:b w:val="0"/>
                <w:i w:val="0"/>
                <w:sz w:val="18"/>
              </w:rPr>
              <w:t>ps -eo user,pid,args | grep -E 'backstage|yarn|node' | grep -v grep</w:t>
            </w:r>
          </w:p>
          <w:p>
            <w:pPr>
              <w:pStyle w:val="CodeBlock"/>
              <w:keepLines/>
            </w:pPr>
            <w:r>
              <w:rPr>
                <w:rFonts w:ascii="Courier New" w:hAnsi="Courier New"/>
                <w:b w:val="0"/>
                <w:i w:val="0"/>
                <w:sz w:val="18"/>
              </w:rPr>
            </w:r>
          </w:p>
          <w:p>
            <w:pPr>
              <w:pStyle w:val="CodeBlock"/>
              <w:keepLines/>
            </w:pPr>
            <w:r>
              <w:rPr>
                <w:rFonts w:ascii="Courier New" w:hAnsi="Courier New"/>
                <w:b w:val="0"/>
                <w:i w:val="0"/>
                <w:sz w:val="18"/>
              </w:rPr>
              <w:t># Use the backend PID from the output:</w:t>
            </w:r>
          </w:p>
          <w:p>
            <w:pPr>
              <w:pStyle w:val="CodeBlock"/>
              <w:keepLines/>
            </w:pPr>
            <w:r>
              <w:rPr>
                <w:rFonts w:ascii="Courier New" w:hAnsi="Courier New"/>
                <w:b w:val="0"/>
                <w:i w:val="0"/>
                <w:sz w:val="18"/>
              </w:rPr>
              <w:t>grep '^Groups:' /proc/&lt;BACKSTAGE-PID&gt;/status</w:t>
            </w:r>
          </w:p>
        </w:tc>
      </w:tr>
    </w:tbl>
    <w:p>
      <w:pPr>
        <w:spacing w:after="20"/>
      </w:pPr>
    </w:p>
    <w:p>
      <w:r>
        <w:rPr>
          <w:rFonts w:ascii="Times New Roman" w:hAnsi="Times New Roman"/>
          <w:b w:val="0"/>
          <w:i w:val="0"/>
          <w:sz w:val="23"/>
        </w:rPr>
        <w:t>The Docker group ID must appear in the Groups line. If it does not, restart Backstage from a newly logged-in session where id shows the docker group.</w:t>
      </w:r>
    </w:p>
    <w:p>
      <w:pPr>
        <w:pStyle w:val="Heading2"/>
        <w:keepNext/>
      </w:pPr>
      <w:r>
        <w:t>Issue 2 – docker ps Fails</w:t>
      </w:r>
    </w:p>
    <w:p>
      <w:r>
        <w:rPr>
          <w:rFonts w:ascii="Times New Roman" w:hAnsi="Times New Roman"/>
          <w:b w:val="0"/>
          <w:i w:val="0"/>
          <w:sz w:val="23"/>
        </w:rPr>
        <w:t>Check the Docker daemon and socket:</w:t>
      </w:r>
    </w:p>
    <w:tbl>
      <w:tblPr>
        <w:tblW w:type="auto" w:w="0"/>
        <w:jc w:val="left"/>
        <w:tblLayout w:type="autofit"/>
        <w:tblLook w:firstColumn="1" w:firstRow="1" w:lastColumn="0" w:lastRow="0" w:noHBand="0" w:noVBand="1" w:val="04A0"/>
      </w:tblPr>
      <w:tblGrid>
        <w:gridCol w:w="9936"/>
      </w:tblGrid>
      <w:tr>
        <w:tc>
          <w:tcPr>
            <w:tcW w:type="dxa" w:w="9936"/>
            <w:shd w:fill="F3F5F7"/>
            <w:tcMar>
              <w:top w:w="80" w:type="dxa"/>
              <w:start w:w="100" w:type="dxa"/>
              <w:bottom w:w="80" w:type="dxa"/>
              <w:end w:w="100" w:type="dxa"/>
            </w:tcMar>
          </w:tcPr>
          <w:p>
            <w:pPr>
              <w:pStyle w:val="CodeBlock"/>
              <w:keepLines/>
            </w:pPr>
            <w:r/>
            <w:r>
              <w:rPr>
                <w:rFonts w:ascii="Courier New" w:hAnsi="Courier New"/>
                <w:b w:val="0"/>
                <w:i w:val="0"/>
                <w:sz w:val="18"/>
              </w:rPr>
              <w:t>sudo systemctl status docker --no-pager</w:t>
            </w:r>
          </w:p>
          <w:p>
            <w:pPr>
              <w:pStyle w:val="CodeBlock"/>
              <w:keepLines/>
            </w:pPr>
            <w:r>
              <w:rPr>
                <w:rFonts w:ascii="Courier New" w:hAnsi="Courier New"/>
                <w:b w:val="0"/>
                <w:i w:val="0"/>
                <w:sz w:val="18"/>
              </w:rPr>
              <w:t>ls -l /var/run/docker.sock</w:t>
            </w:r>
          </w:p>
          <w:p>
            <w:pPr>
              <w:pStyle w:val="CodeBlock"/>
              <w:keepLines/>
            </w:pPr>
            <w:r>
              <w:rPr>
                <w:rFonts w:ascii="Courier New" w:hAnsi="Courier New"/>
                <w:b w:val="0"/>
                <w:i w:val="0"/>
                <w:sz w:val="18"/>
              </w:rPr>
              <w:t>id</w:t>
            </w:r>
          </w:p>
        </w:tc>
      </w:tr>
    </w:tbl>
    <w:p>
      <w:pPr>
        <w:spacing w:after="20"/>
      </w:pPr>
    </w:p>
    <w:p>
      <w:r>
        <w:rPr>
          <w:rFonts w:ascii="Times New Roman" w:hAnsi="Times New Roman"/>
          <w:b w:val="0"/>
          <w:i w:val="0"/>
          <w:sz w:val="23"/>
        </w:rPr>
        <w:t>If Docker is stopped, start it:</w:t>
      </w:r>
    </w:p>
    <w:tbl>
      <w:tblPr>
        <w:tblW w:type="auto" w:w="0"/>
        <w:jc w:val="left"/>
        <w:tblLayout w:type="autofit"/>
        <w:tblLook w:firstColumn="1" w:firstRow="1" w:lastColumn="0" w:lastRow="0" w:noHBand="0" w:noVBand="1" w:val="04A0"/>
      </w:tblPr>
      <w:tblGrid>
        <w:gridCol w:w="9936"/>
      </w:tblGrid>
      <w:tr>
        <w:tc>
          <w:tcPr>
            <w:tcW w:type="dxa" w:w="9936"/>
            <w:shd w:fill="F3F5F7"/>
            <w:tcMar>
              <w:top w:w="80" w:type="dxa"/>
              <w:start w:w="100" w:type="dxa"/>
              <w:bottom w:w="80" w:type="dxa"/>
              <w:end w:w="100" w:type="dxa"/>
            </w:tcMar>
          </w:tcPr>
          <w:p>
            <w:pPr>
              <w:pStyle w:val="CodeBlock"/>
              <w:keepLines/>
            </w:pPr>
            <w:r/>
            <w:r>
              <w:rPr>
                <w:rFonts w:ascii="Courier New" w:hAnsi="Courier New"/>
                <w:b w:val="0"/>
                <w:i w:val="0"/>
                <w:sz w:val="18"/>
              </w:rPr>
              <w:t>sudo systemctl start docker</w:t>
            </w:r>
          </w:p>
        </w:tc>
      </w:tr>
    </w:tbl>
    <w:p>
      <w:pPr>
        <w:spacing w:after="20"/>
      </w:pPr>
    </w:p>
    <w:p>
      <w:r>
        <w:rPr>
          <w:rFonts w:ascii="Times New Roman" w:hAnsi="Times New Roman"/>
          <w:b w:val="0"/>
          <w:i w:val="0"/>
          <w:sz w:val="23"/>
        </w:rPr>
        <w:t>Then re-run docker ps without sudo. Do not proceed with TechDocs until that succeeds for the user that will start Backstage.</w:t>
      </w:r>
    </w:p>
    <w:p>
      <w:pPr>
        <w:pStyle w:val="Heading2"/>
        <w:keepNext/>
      </w:pPr>
      <w:r>
        <w:t>Issue 3 – 404 / “There Is No index.md”</w:t>
      </w:r>
    </w:p>
    <w:p>
      <w:r>
        <w:rPr>
          <w:rFonts w:ascii="Times New Roman" w:hAnsi="Times New Roman"/>
          <w:b w:val="0"/>
          <w:i w:val="0"/>
          <w:sz w:val="23"/>
        </w:rPr>
        <w:t>Verify the generated repository—not only the template skeleton—contains:</w:t>
      </w:r>
    </w:p>
    <w:tbl>
      <w:tblPr>
        <w:tblW w:type="auto" w:w="0"/>
        <w:jc w:val="left"/>
        <w:tblLayout w:type="autofit"/>
        <w:tblLook w:firstColumn="1" w:firstRow="1" w:lastColumn="0" w:lastRow="0" w:noHBand="0" w:noVBand="1" w:val="04A0"/>
      </w:tblPr>
      <w:tblGrid>
        <w:gridCol w:w="9936"/>
      </w:tblGrid>
      <w:tr>
        <w:tc>
          <w:tcPr>
            <w:tcW w:type="dxa" w:w="9936"/>
            <w:shd w:fill="F3F5F7"/>
            <w:tcMar>
              <w:top w:w="80" w:type="dxa"/>
              <w:start w:w="100" w:type="dxa"/>
              <w:bottom w:w="80" w:type="dxa"/>
              <w:end w:w="100" w:type="dxa"/>
            </w:tcMar>
          </w:tcPr>
          <w:p>
            <w:pPr>
              <w:pStyle w:val="CodeBlock"/>
              <w:keepLines/>
            </w:pPr>
            <w:r/>
            <w:r>
              <w:rPr>
                <w:rFonts w:ascii="Courier New" w:hAnsi="Courier New"/>
                <w:b w:val="0"/>
                <w:i w:val="0"/>
                <w:sz w:val="18"/>
              </w:rPr>
              <w:t>mkdocs.yml</w:t>
            </w:r>
          </w:p>
          <w:p>
            <w:pPr>
              <w:pStyle w:val="CodeBlock"/>
              <w:keepLines/>
            </w:pPr>
            <w:r>
              <w:rPr>
                <w:rFonts w:ascii="Courier New" w:hAnsi="Courier New"/>
                <w:b w:val="0"/>
                <w:i w:val="0"/>
                <w:sz w:val="18"/>
              </w:rPr>
              <w:t>docs/index.md</w:t>
            </w:r>
          </w:p>
        </w:tc>
      </w:tr>
    </w:tbl>
    <w:p>
      <w:pPr>
        <w:spacing w:after="20"/>
      </w:pPr>
    </w:p>
    <w:p>
      <w:r>
        <w:rPr>
          <w:rFonts w:ascii="Times New Roman" w:hAnsi="Times New Roman"/>
          <w:b w:val="0"/>
          <w:i w:val="0"/>
          <w:sz w:val="23"/>
        </w:rPr>
        <w:t>Also verify that mkdocs.yml uses docs_dir: docs (or relies on the default docs folder) and catalog-info.yaml includes backstage.io/techdocs-ref: dir:.</w:t>
      </w:r>
    </w:p>
    <w:p>
      <w:r>
        <w:rPr>
          <w:rFonts w:ascii="Times New Roman" w:hAnsi="Times New Roman"/>
          <w:b w:val="0"/>
          <w:i w:val="0"/>
          <w:sz w:val="23"/>
        </w:rPr>
        <w:t>If the generated repository is missing docs/index.md, correct the skeleton and generate a new service or commit the missing file to the existing repository.</w:t>
      </w:r>
    </w:p>
    <w:p>
      <w:pPr>
        <w:pStyle w:val="Heading2"/>
        <w:keepNext/>
      </w:pPr>
      <w:r>
        <w:t>Issue 4 – mkdocs.yml Missing or Invalid</w:t>
      </w:r>
    </w:p>
    <w:p>
      <w:r>
        <w:rPr>
          <w:rFonts w:ascii="Times New Roman" w:hAnsi="Times New Roman"/>
          <w:b w:val="0"/>
          <w:i w:val="0"/>
          <w:sz w:val="23"/>
        </w:rPr>
        <w:t>Confirm the file is at the documentation root referenced by techdocs-ref and validate indentation carefully. The minimum structure should be similar to:</w:t>
      </w:r>
    </w:p>
    <w:tbl>
      <w:tblPr>
        <w:tblW w:type="auto" w:w="0"/>
        <w:jc w:val="left"/>
        <w:tblLayout w:type="autofit"/>
        <w:tblLook w:firstColumn="1" w:firstRow="1" w:lastColumn="0" w:lastRow="0" w:noHBand="0" w:noVBand="1" w:val="04A0"/>
      </w:tblPr>
      <w:tblGrid>
        <w:gridCol w:w="9936"/>
      </w:tblGrid>
      <w:tr>
        <w:tc>
          <w:tcPr>
            <w:tcW w:type="dxa" w:w="9936"/>
            <w:shd w:fill="F3F5F7"/>
            <w:tcMar>
              <w:top w:w="80" w:type="dxa"/>
              <w:start w:w="100" w:type="dxa"/>
              <w:bottom w:w="80" w:type="dxa"/>
              <w:end w:w="100" w:type="dxa"/>
            </w:tcMar>
          </w:tcPr>
          <w:p>
            <w:pPr>
              <w:pStyle w:val="CodeBlock"/>
              <w:keepLines/>
            </w:pPr>
            <w:r/>
            <w:r>
              <w:rPr>
                <w:rFonts w:ascii="Courier New" w:hAnsi="Courier New"/>
                <w:b w:val="0"/>
                <w:i w:val="0"/>
                <w:sz w:val="18"/>
              </w:rPr>
              <w:t>site_name: 'payment-service'</w:t>
            </w:r>
          </w:p>
          <w:p>
            <w:pPr>
              <w:pStyle w:val="CodeBlock"/>
              <w:keepLines/>
            </w:pPr>
            <w:r>
              <w:rPr>
                <w:rFonts w:ascii="Courier New" w:hAnsi="Courier New"/>
                <w:b w:val="0"/>
                <w:i w:val="0"/>
                <w:sz w:val="18"/>
              </w:rPr>
              <w:t>nav:</w:t>
            </w:r>
          </w:p>
          <w:p>
            <w:pPr>
              <w:pStyle w:val="CodeBlock"/>
              <w:keepLines/>
            </w:pPr>
            <w:r>
              <w:rPr>
                <w:rFonts w:ascii="Courier New" w:hAnsi="Courier New"/>
                <w:b w:val="0"/>
                <w:i w:val="0"/>
                <w:sz w:val="18"/>
              </w:rPr>
              <w:t xml:space="preserve">  - Home: index.md</w:t>
            </w:r>
          </w:p>
          <w:p>
            <w:pPr>
              <w:pStyle w:val="CodeBlock"/>
              <w:keepLines/>
            </w:pPr>
            <w:r>
              <w:rPr>
                <w:rFonts w:ascii="Courier New" w:hAnsi="Courier New"/>
                <w:b w:val="0"/>
                <w:i w:val="0"/>
                <w:sz w:val="18"/>
              </w:rPr>
              <w:t>plugins:</w:t>
            </w:r>
          </w:p>
          <w:p>
            <w:pPr>
              <w:pStyle w:val="CodeBlock"/>
              <w:keepLines/>
            </w:pPr>
            <w:r>
              <w:rPr>
                <w:rFonts w:ascii="Courier New" w:hAnsi="Courier New"/>
                <w:b w:val="0"/>
                <w:i w:val="0"/>
                <w:sz w:val="18"/>
              </w:rPr>
              <w:t xml:space="preserve">  - techdocs-core</w:t>
            </w:r>
          </w:p>
        </w:tc>
      </w:tr>
    </w:tbl>
    <w:p>
      <w:pPr>
        <w:spacing w:after="20"/>
      </w:pPr>
    </w:p>
    <w:p>
      <w:pPr>
        <w:pStyle w:val="Heading2"/>
        <w:keepNext/>
      </w:pPr>
      <w:r>
        <w:t>Issue 5 – TechDocs Tab Exists but Build Keeps Showing an Older Failure</w:t>
      </w:r>
    </w:p>
    <w:p>
      <w:r>
        <w:rPr>
          <w:rFonts w:ascii="Times New Roman" w:hAnsi="Times New Roman"/>
          <w:b w:val="0"/>
          <w:i w:val="0"/>
          <w:sz w:val="23"/>
        </w:rPr>
        <w:t>Confirm the current Backstage process is the newly restarted process, then reload the TechDocs page. When troubleshooting Docker permissions, do not assume the current SSH shell permissions are the same as the permissions inherited by an older Node process.</w:t>
      </w:r>
    </w:p>
    <w:p>
      <w:pPr>
        <w:pStyle w:val="Heading2"/>
        <w:keepNext/>
      </w:pPr>
      <w:r>
        <w:t>Issue 6 – Owner Is Not Resolved</w:t>
      </w:r>
    </w:p>
    <w:p>
      <w:r>
        <w:rPr>
          <w:rFonts w:ascii="Times New Roman" w:hAnsi="Times New Roman"/>
          <w:b w:val="0"/>
          <w:i w:val="0"/>
          <w:sz w:val="23"/>
        </w:rPr>
        <w:t>The owner value should reference a valid catalog user/group in your environment. If the page shows an unresolved owner, verify that the group exists in the Catalog and that the template is rendering the expected owner value.</w:t>
      </w:r>
    </w:p>
    <w:p>
      <w:pPr>
        <w:pStyle w:val="Heading1"/>
        <w:keepNext/>
      </w:pPr>
      <w:r>
        <w:t>Lab Validation Checklist</w:t>
      </w:r>
    </w:p>
    <w:p>
      <w:pPr>
        <w:pStyle w:val="ListBullet"/>
        <w:spacing w:after="40"/>
      </w:pPr>
      <w:r>
        <w:rPr>
          <w:rFonts w:ascii="Times New Roman" w:hAnsi="Times New Roman"/>
          <w:b w:val="0"/>
          <w:i w:val="0"/>
          <w:sz w:val="22"/>
        </w:rPr>
        <w:t>docker ps works without sudo for the Backstage OS user.</w:t>
      </w:r>
    </w:p>
    <w:p>
      <w:pPr>
        <w:pStyle w:val="ListBullet"/>
        <w:spacing w:after="40"/>
      </w:pPr>
      <w:r>
        <w:rPr>
          <w:rFonts w:ascii="Times New Roman" w:hAnsi="Times New Roman"/>
          <w:b w:val="0"/>
          <w:i w:val="0"/>
          <w:sz w:val="22"/>
        </w:rPr>
        <w:t>Backstage was started after Docker group membership became active.</w:t>
      </w:r>
    </w:p>
    <w:p>
      <w:pPr>
        <w:pStyle w:val="ListBullet"/>
        <w:spacing w:after="40"/>
      </w:pPr>
      <w:r>
        <w:rPr>
          <w:rFonts w:ascii="Times New Roman" w:hAnsi="Times New Roman"/>
          <w:b w:val="0"/>
          <w:i w:val="0"/>
          <w:sz w:val="22"/>
        </w:rPr>
        <w:t>TechDocs configuration uses builder: local, generator.runIn: docker, and publisher.type: local for this lab.</w:t>
      </w:r>
    </w:p>
    <w:p>
      <w:pPr>
        <w:pStyle w:val="ListBullet"/>
        <w:spacing w:after="40"/>
      </w:pPr>
      <w:r>
        <w:rPr>
          <w:rFonts w:ascii="Times New Roman" w:hAnsi="Times New Roman"/>
          <w:b w:val="0"/>
          <w:i w:val="0"/>
          <w:sz w:val="22"/>
        </w:rPr>
        <w:t>The template contains mkdocs.yml and docs/index.md.</w:t>
      </w:r>
    </w:p>
    <w:p>
      <w:pPr>
        <w:pStyle w:val="ListBullet"/>
        <w:spacing w:after="40"/>
      </w:pPr>
      <w:r>
        <w:rPr>
          <w:rFonts w:ascii="Times New Roman" w:hAnsi="Times New Roman"/>
          <w:b w:val="0"/>
          <w:i w:val="0"/>
          <w:sz w:val="22"/>
        </w:rPr>
        <w:t>The template contains all six documentation pages.</w:t>
      </w:r>
    </w:p>
    <w:p>
      <w:pPr>
        <w:pStyle w:val="ListBullet"/>
        <w:spacing w:after="40"/>
      </w:pPr>
      <w:r>
        <w:rPr>
          <w:rFonts w:ascii="Times New Roman" w:hAnsi="Times New Roman"/>
          <w:b w:val="0"/>
          <w:i w:val="0"/>
          <w:sz w:val="22"/>
        </w:rPr>
        <w:t>catalog-info.yaml contains backstage.io/techdocs-ref: dir:.</w:t>
      </w:r>
    </w:p>
    <w:p>
      <w:pPr>
        <w:pStyle w:val="ListBullet"/>
        <w:spacing w:after="40"/>
      </w:pPr>
      <w:r>
        <w:rPr>
          <w:rFonts w:ascii="Times New Roman" w:hAnsi="Times New Roman"/>
          <w:b w:val="0"/>
          <w:i w:val="0"/>
          <w:sz w:val="22"/>
        </w:rPr>
        <w:t>The generated GitHub repository contains the expected documentation files.</w:t>
      </w:r>
    </w:p>
    <w:p>
      <w:pPr>
        <w:pStyle w:val="ListBullet"/>
        <w:spacing w:after="40"/>
      </w:pPr>
      <w:r>
        <w:rPr>
          <w:rFonts w:ascii="Times New Roman" w:hAnsi="Times New Roman"/>
          <w:b w:val="0"/>
          <w:i w:val="0"/>
          <w:sz w:val="22"/>
        </w:rPr>
        <w:t>The service appears in the Backstage Catalog.</w:t>
      </w:r>
    </w:p>
    <w:p>
      <w:pPr>
        <w:pStyle w:val="ListBullet"/>
        <w:spacing w:after="40"/>
      </w:pPr>
      <w:r>
        <w:rPr>
          <w:rFonts w:ascii="Times New Roman" w:hAnsi="Times New Roman"/>
          <w:b w:val="0"/>
          <w:i w:val="0"/>
          <w:sz w:val="22"/>
        </w:rPr>
        <w:t>The TechDocs page builds without Docker socket permission errors.</w:t>
      </w:r>
    </w:p>
    <w:p>
      <w:pPr>
        <w:pStyle w:val="ListBullet"/>
        <w:spacing w:after="40"/>
      </w:pPr>
      <w:r>
        <w:rPr>
          <w:rFonts w:ascii="Times New Roman" w:hAnsi="Times New Roman"/>
          <w:b w:val="0"/>
          <w:i w:val="0"/>
          <w:sz w:val="22"/>
        </w:rPr>
        <w:t>Navigation between Home, Getting Started, Architecture, API, Operations, and Troubleshooting works.</w:t>
      </w:r>
    </w:p>
    <w:p>
      <w:pPr>
        <w:pStyle w:val="Heading1"/>
        <w:keepNext/>
      </w:pPr>
      <w:r>
        <w:t>Expected Final Repository Structure</w:t>
      </w:r>
    </w:p>
    <w:tbl>
      <w:tblPr>
        <w:tblW w:type="auto" w:w="0"/>
        <w:jc w:val="left"/>
        <w:tblLayout w:type="autofit"/>
        <w:tblLook w:firstColumn="1" w:firstRow="1" w:lastColumn="0" w:lastRow="0" w:noHBand="0" w:noVBand="1" w:val="04A0"/>
      </w:tblPr>
      <w:tblGrid>
        <w:gridCol w:w="9936"/>
      </w:tblGrid>
      <w:tr>
        <w:tc>
          <w:tcPr>
            <w:tcW w:type="dxa" w:w="9936"/>
            <w:shd w:fill="F3F5F7"/>
            <w:tcMar>
              <w:top w:w="80" w:type="dxa"/>
              <w:start w:w="100" w:type="dxa"/>
              <w:bottom w:w="80" w:type="dxa"/>
              <w:end w:w="100" w:type="dxa"/>
            </w:tcMar>
          </w:tcPr>
          <w:p>
            <w:pPr>
              <w:pStyle w:val="CodeBlock"/>
              <w:keepLines/>
            </w:pPr>
            <w:r/>
            <w:r>
              <w:rPr>
                <w:rFonts w:ascii="Courier New" w:hAnsi="Courier New"/>
                <w:b w:val="0"/>
                <w:i w:val="0"/>
                <w:sz w:val="18"/>
              </w:rPr>
              <w:t>payment-service-docs/</w:t>
            </w:r>
          </w:p>
          <w:p>
            <w:pPr>
              <w:pStyle w:val="CodeBlock"/>
              <w:keepLines/>
            </w:pPr>
            <w:r>
              <w:rPr>
                <w:rFonts w:ascii="Courier New" w:hAnsi="Courier New"/>
                <w:b w:val="0"/>
                <w:i w:val="0"/>
                <w:sz w:val="18"/>
              </w:rPr>
              <w:t>├── app.js</w:t>
            </w:r>
          </w:p>
          <w:p>
            <w:pPr>
              <w:pStyle w:val="CodeBlock"/>
              <w:keepLines/>
            </w:pPr>
            <w:r>
              <w:rPr>
                <w:rFonts w:ascii="Courier New" w:hAnsi="Courier New"/>
                <w:b w:val="0"/>
                <w:i w:val="0"/>
                <w:sz w:val="18"/>
              </w:rPr>
              <w:t>├── Dockerfile</w:t>
            </w:r>
          </w:p>
          <w:p>
            <w:pPr>
              <w:pStyle w:val="CodeBlock"/>
              <w:keepLines/>
            </w:pPr>
            <w:r>
              <w:rPr>
                <w:rFonts w:ascii="Courier New" w:hAnsi="Courier New"/>
                <w:b w:val="0"/>
                <w:i w:val="0"/>
                <w:sz w:val="18"/>
              </w:rPr>
              <w:t>├── catalog-info.yaml</w:t>
            </w:r>
          </w:p>
          <w:p>
            <w:pPr>
              <w:pStyle w:val="CodeBlock"/>
              <w:keepLines/>
            </w:pPr>
            <w:r>
              <w:rPr>
                <w:rFonts w:ascii="Courier New" w:hAnsi="Courier New"/>
                <w:b w:val="0"/>
                <w:i w:val="0"/>
                <w:sz w:val="18"/>
              </w:rPr>
              <w:t>├── mkdocs.yml</w:t>
            </w:r>
          </w:p>
          <w:p>
            <w:pPr>
              <w:pStyle w:val="CodeBlock"/>
              <w:keepLines/>
            </w:pPr>
            <w:r>
              <w:rPr>
                <w:rFonts w:ascii="Courier New" w:hAnsi="Courier New"/>
                <w:b w:val="0"/>
                <w:i w:val="0"/>
                <w:sz w:val="18"/>
              </w:rPr>
              <w:t>└── docs/</w:t>
            </w:r>
          </w:p>
          <w:p>
            <w:pPr>
              <w:pStyle w:val="CodeBlock"/>
              <w:keepLines/>
            </w:pPr>
            <w:r>
              <w:rPr>
                <w:rFonts w:ascii="Courier New" w:hAnsi="Courier New"/>
                <w:b w:val="0"/>
                <w:i w:val="0"/>
                <w:sz w:val="18"/>
              </w:rPr>
              <w:t xml:space="preserve">    ├── index.md</w:t>
            </w:r>
          </w:p>
          <w:p>
            <w:pPr>
              <w:pStyle w:val="CodeBlock"/>
              <w:keepLines/>
            </w:pPr>
            <w:r>
              <w:rPr>
                <w:rFonts w:ascii="Courier New" w:hAnsi="Courier New"/>
                <w:b w:val="0"/>
                <w:i w:val="0"/>
                <w:sz w:val="18"/>
              </w:rPr>
              <w:t xml:space="preserve">    ├── getting-started.md</w:t>
            </w:r>
          </w:p>
          <w:p>
            <w:pPr>
              <w:pStyle w:val="CodeBlock"/>
              <w:keepLines/>
            </w:pPr>
            <w:r>
              <w:rPr>
                <w:rFonts w:ascii="Courier New" w:hAnsi="Courier New"/>
                <w:b w:val="0"/>
                <w:i w:val="0"/>
                <w:sz w:val="18"/>
              </w:rPr>
              <w:t xml:space="preserve">    ├── architecture.md</w:t>
            </w:r>
          </w:p>
          <w:p>
            <w:pPr>
              <w:pStyle w:val="CodeBlock"/>
              <w:keepLines/>
            </w:pPr>
            <w:r>
              <w:rPr>
                <w:rFonts w:ascii="Courier New" w:hAnsi="Courier New"/>
                <w:b w:val="0"/>
                <w:i w:val="0"/>
                <w:sz w:val="18"/>
              </w:rPr>
              <w:t xml:space="preserve">    ├── api.md</w:t>
            </w:r>
          </w:p>
          <w:p>
            <w:pPr>
              <w:pStyle w:val="CodeBlock"/>
              <w:keepLines/>
            </w:pPr>
            <w:r>
              <w:rPr>
                <w:rFonts w:ascii="Courier New" w:hAnsi="Courier New"/>
                <w:b w:val="0"/>
                <w:i w:val="0"/>
                <w:sz w:val="18"/>
              </w:rPr>
              <w:t xml:space="preserve">    ├── operations.md</w:t>
            </w:r>
          </w:p>
          <w:p>
            <w:pPr>
              <w:pStyle w:val="CodeBlock"/>
              <w:keepLines/>
            </w:pPr>
            <w:r>
              <w:rPr>
                <w:rFonts w:ascii="Courier New" w:hAnsi="Courier New"/>
                <w:b w:val="0"/>
                <w:i w:val="0"/>
                <w:sz w:val="18"/>
              </w:rPr>
              <w:t xml:space="preserve">    └── troubleshooting.md</w:t>
            </w:r>
          </w:p>
        </w:tc>
      </w:tr>
    </w:tbl>
    <w:p>
      <w:pPr>
        <w:spacing w:after="20"/>
      </w:pPr>
    </w:p>
    <w:p>
      <w:pPr>
        <w:pStyle w:val="Heading1"/>
        <w:keepNext/>
      </w:pPr>
      <w:r>
        <w:t>Instructor Discussion</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shd w:fill="D9EAF7"/>
            <w:tcMar>
              <w:top w:w="80" w:type="dxa"/>
              <w:start w:w="100" w:type="dxa"/>
              <w:bottom w:w="80" w:type="dxa"/>
              <w:end w:w="100" w:type="dxa"/>
            </w:tcMar>
          </w:tcPr>
          <w:p>
            <w:r>
              <w:rPr>
                <w:rFonts w:ascii="Times New Roman" w:hAnsi="Times New Roman"/>
                <w:b/>
                <w:i w:val="0"/>
                <w:sz w:val="19"/>
              </w:rPr>
              <w:t>Question</w:t>
            </w:r>
          </w:p>
        </w:tc>
        <w:tc>
          <w:tcPr>
            <w:tcW w:type="dxa" w:w="3312"/>
            <w:shd w:fill="D9EAF7"/>
            <w:tcMar>
              <w:top w:w="80" w:type="dxa"/>
              <w:start w:w="100" w:type="dxa"/>
              <w:bottom w:w="80" w:type="dxa"/>
              <w:end w:w="100" w:type="dxa"/>
            </w:tcMar>
          </w:tcPr>
          <w:p>
            <w:r>
              <w:rPr>
                <w:rFonts w:ascii="Times New Roman" w:hAnsi="Times New Roman"/>
                <w:b/>
                <w:i w:val="0"/>
                <w:sz w:val="19"/>
              </w:rPr>
              <w:t>Expected Answer</w:t>
            </w:r>
          </w:p>
        </w:tc>
        <w:tc>
          <w:tcPr>
            <w:tcW w:type="dxa" w:w="3312"/>
            <w:shd w:fill="D9EAF7"/>
            <w:tcMar>
              <w:top w:w="80" w:type="dxa"/>
              <w:start w:w="100" w:type="dxa"/>
              <w:bottom w:w="80" w:type="dxa"/>
              <w:end w:w="100" w:type="dxa"/>
            </w:tcMar>
          </w:tcPr>
          <w:p>
            <w:r>
              <w:rPr>
                <w:rFonts w:ascii="Times New Roman" w:hAnsi="Times New Roman"/>
                <w:b/>
                <w:i w:val="0"/>
                <w:sz w:val="19"/>
              </w:rPr>
              <w:t>Teaching Point</w:t>
            </w:r>
          </w:p>
        </w:tc>
      </w:tr>
      <w:tr>
        <w:trPr>
          <w:cantSplit/>
        </w:trPr>
        <w:tc>
          <w:tcPr>
            <w:tcW w:type="dxa" w:w="3312"/>
            <w:tcMar>
              <w:top w:w="80" w:type="dxa"/>
              <w:start w:w="100" w:type="dxa"/>
              <w:bottom w:w="80" w:type="dxa"/>
              <w:end w:w="100" w:type="dxa"/>
            </w:tcMar>
          </w:tcPr>
          <w:p>
            <w:r>
              <w:rPr>
                <w:rFonts w:ascii="Times New Roman" w:hAnsi="Times New Roman"/>
                <w:b w:val="0"/>
                <w:i w:val="0"/>
                <w:sz w:val="19"/>
              </w:rPr>
              <w:t>What did the developer provide?</w:t>
            </w:r>
          </w:p>
        </w:tc>
        <w:tc>
          <w:tcPr>
            <w:tcW w:type="dxa" w:w="3312"/>
            <w:tcMar>
              <w:top w:w="80" w:type="dxa"/>
              <w:start w:w="100" w:type="dxa"/>
              <w:bottom w:w="80" w:type="dxa"/>
              <w:end w:w="100" w:type="dxa"/>
            </w:tcMar>
          </w:tcPr>
          <w:p>
            <w:r>
              <w:rPr>
                <w:rFonts w:ascii="Times New Roman" w:hAnsi="Times New Roman"/>
                <w:b w:val="0"/>
                <w:i w:val="0"/>
                <w:sz w:val="19"/>
              </w:rPr>
              <w:t>Service-specific inputs such as name, owner, port, and business code.</w:t>
            </w:r>
          </w:p>
        </w:tc>
        <w:tc>
          <w:tcPr>
            <w:tcW w:type="dxa" w:w="3312"/>
            <w:tcMar>
              <w:top w:w="80" w:type="dxa"/>
              <w:start w:w="100" w:type="dxa"/>
              <w:bottom w:w="80" w:type="dxa"/>
              <w:end w:w="100" w:type="dxa"/>
            </w:tcMar>
          </w:tcPr>
          <w:p>
            <w:r>
              <w:rPr>
                <w:rFonts w:ascii="Times New Roman" w:hAnsi="Times New Roman"/>
                <w:b w:val="0"/>
                <w:i w:val="0"/>
                <w:sz w:val="19"/>
              </w:rPr>
              <w:t>The developer should not rebuild platform conventions for every service.</w:t>
            </w:r>
          </w:p>
        </w:tc>
      </w:tr>
      <w:tr>
        <w:trPr>
          <w:cantSplit/>
        </w:trPr>
        <w:tc>
          <w:tcPr>
            <w:tcW w:type="dxa" w:w="3312"/>
            <w:tcMar>
              <w:top w:w="80" w:type="dxa"/>
              <w:start w:w="100" w:type="dxa"/>
              <w:bottom w:w="80" w:type="dxa"/>
              <w:end w:w="100" w:type="dxa"/>
            </w:tcMar>
          </w:tcPr>
          <w:p>
            <w:r>
              <w:rPr>
                <w:rFonts w:ascii="Times New Roman" w:hAnsi="Times New Roman"/>
                <w:b w:val="0"/>
                <w:i w:val="0"/>
                <w:sz w:val="19"/>
              </w:rPr>
              <w:t>What did the platform provide?</w:t>
            </w:r>
          </w:p>
        </w:tc>
        <w:tc>
          <w:tcPr>
            <w:tcW w:type="dxa" w:w="3312"/>
            <w:tcMar>
              <w:top w:w="80" w:type="dxa"/>
              <w:start w:w="100" w:type="dxa"/>
              <w:bottom w:w="80" w:type="dxa"/>
              <w:end w:w="100" w:type="dxa"/>
            </w:tcMar>
          </w:tcPr>
          <w:p>
            <w:r>
              <w:rPr>
                <w:rFonts w:ascii="Times New Roman" w:hAnsi="Times New Roman"/>
                <w:b w:val="0"/>
                <w:i w:val="0"/>
                <w:sz w:val="19"/>
              </w:rPr>
              <w:t>Documentation structure, metadata, navigation, standard pages, and publishing path.</w:t>
            </w:r>
          </w:p>
        </w:tc>
        <w:tc>
          <w:tcPr>
            <w:tcW w:type="dxa" w:w="3312"/>
            <w:tcMar>
              <w:top w:w="80" w:type="dxa"/>
              <w:start w:w="100" w:type="dxa"/>
              <w:bottom w:w="80" w:type="dxa"/>
              <w:end w:w="100" w:type="dxa"/>
            </w:tcMar>
          </w:tcPr>
          <w:p>
            <w:r>
              <w:rPr>
                <w:rFonts w:ascii="Times New Roman" w:hAnsi="Times New Roman"/>
                <w:b w:val="0"/>
                <w:i w:val="0"/>
                <w:sz w:val="19"/>
              </w:rPr>
              <w:t>The Golden Path turns documentation into a default capability.</w:t>
            </w:r>
          </w:p>
        </w:tc>
      </w:tr>
      <w:tr>
        <w:trPr>
          <w:cantSplit/>
        </w:trPr>
        <w:tc>
          <w:tcPr>
            <w:tcW w:type="dxa" w:w="3312"/>
            <w:tcMar>
              <w:top w:w="80" w:type="dxa"/>
              <w:start w:w="100" w:type="dxa"/>
              <w:bottom w:w="80" w:type="dxa"/>
              <w:end w:w="100" w:type="dxa"/>
            </w:tcMar>
          </w:tcPr>
          <w:p>
            <w:r>
              <w:rPr>
                <w:rFonts w:ascii="Times New Roman" w:hAnsi="Times New Roman"/>
                <w:b w:val="0"/>
                <w:i w:val="0"/>
                <w:sz w:val="19"/>
              </w:rPr>
              <w:t>Why is docs/index.md important?</w:t>
            </w:r>
          </w:p>
        </w:tc>
        <w:tc>
          <w:tcPr>
            <w:tcW w:type="dxa" w:w="3312"/>
            <w:tcMar>
              <w:top w:w="80" w:type="dxa"/>
              <w:start w:w="100" w:type="dxa"/>
              <w:bottom w:w="80" w:type="dxa"/>
              <w:end w:w="100" w:type="dxa"/>
            </w:tcMar>
          </w:tcPr>
          <w:p>
            <w:r>
              <w:rPr>
                <w:rFonts w:ascii="Times New Roman" w:hAnsi="Times New Roman"/>
                <w:b w:val="0"/>
                <w:i w:val="0"/>
                <w:sz w:val="19"/>
              </w:rPr>
              <w:t>It is the entry page for the documentation site.</w:t>
            </w:r>
          </w:p>
        </w:tc>
        <w:tc>
          <w:tcPr>
            <w:tcW w:type="dxa" w:w="3312"/>
            <w:tcMar>
              <w:top w:w="80" w:type="dxa"/>
              <w:start w:w="100" w:type="dxa"/>
              <w:bottom w:w="80" w:type="dxa"/>
              <w:end w:w="100" w:type="dxa"/>
            </w:tcMar>
          </w:tcPr>
          <w:p>
            <w:r>
              <w:rPr>
                <w:rFonts w:ascii="Times New Roman" w:hAnsi="Times New Roman"/>
                <w:b w:val="0"/>
                <w:i w:val="0"/>
                <w:sz w:val="19"/>
              </w:rPr>
              <w:t>A missing index can produce a 404 even when the entity exists.</w:t>
            </w:r>
          </w:p>
        </w:tc>
      </w:tr>
      <w:tr>
        <w:trPr>
          <w:cantSplit/>
        </w:trPr>
        <w:tc>
          <w:tcPr>
            <w:tcW w:type="dxa" w:w="3312"/>
            <w:tcMar>
              <w:top w:w="80" w:type="dxa"/>
              <w:start w:w="100" w:type="dxa"/>
              <w:bottom w:w="80" w:type="dxa"/>
              <w:end w:w="100" w:type="dxa"/>
            </w:tcMar>
          </w:tcPr>
          <w:p>
            <w:r>
              <w:rPr>
                <w:rFonts w:ascii="Times New Roman" w:hAnsi="Times New Roman"/>
                <w:b w:val="0"/>
                <w:i w:val="0"/>
                <w:sz w:val="19"/>
              </w:rPr>
              <w:t>Why did Docker permission fail?</w:t>
            </w:r>
          </w:p>
        </w:tc>
        <w:tc>
          <w:tcPr>
            <w:tcW w:type="dxa" w:w="3312"/>
            <w:tcMar>
              <w:top w:w="80" w:type="dxa"/>
              <w:start w:w="100" w:type="dxa"/>
              <w:bottom w:w="80" w:type="dxa"/>
              <w:end w:w="100" w:type="dxa"/>
            </w:tcMar>
          </w:tcPr>
          <w:p>
            <w:r>
              <w:rPr>
                <w:rFonts w:ascii="Times New Roman" w:hAnsi="Times New Roman"/>
                <w:b w:val="0"/>
                <w:i w:val="0"/>
                <w:sz w:val="19"/>
              </w:rPr>
              <w:t>The running Backstage process did not inherit docker group membership.</w:t>
            </w:r>
          </w:p>
        </w:tc>
        <w:tc>
          <w:tcPr>
            <w:tcW w:type="dxa" w:w="3312"/>
            <w:tcMar>
              <w:top w:w="80" w:type="dxa"/>
              <w:start w:w="100" w:type="dxa"/>
              <w:bottom w:w="80" w:type="dxa"/>
              <w:end w:w="100" w:type="dxa"/>
            </w:tcMar>
          </w:tcPr>
          <w:p>
            <w:r>
              <w:rPr>
                <w:rFonts w:ascii="Times New Roman" w:hAnsi="Times New Roman"/>
                <w:b w:val="0"/>
                <w:i w:val="0"/>
                <w:sz w:val="19"/>
              </w:rPr>
              <w:t>Linux process permissions are inherited at process start.</w:t>
            </w:r>
          </w:p>
        </w:tc>
      </w:tr>
      <w:tr>
        <w:trPr>
          <w:cantSplit/>
        </w:trPr>
        <w:tc>
          <w:tcPr>
            <w:tcW w:type="dxa" w:w="3312"/>
            <w:tcMar>
              <w:top w:w="80" w:type="dxa"/>
              <w:start w:w="100" w:type="dxa"/>
              <w:bottom w:w="80" w:type="dxa"/>
              <w:end w:w="100" w:type="dxa"/>
            </w:tcMar>
          </w:tcPr>
          <w:p>
            <w:r>
              <w:rPr>
                <w:rFonts w:ascii="Times New Roman" w:hAnsi="Times New Roman"/>
                <w:b w:val="0"/>
                <w:i w:val="0"/>
                <w:sz w:val="19"/>
              </w:rPr>
              <w:t>Why not chmod 777 the Docker socket?</w:t>
            </w:r>
          </w:p>
        </w:tc>
        <w:tc>
          <w:tcPr>
            <w:tcW w:type="dxa" w:w="3312"/>
            <w:tcMar>
              <w:top w:w="80" w:type="dxa"/>
              <w:start w:w="100" w:type="dxa"/>
              <w:bottom w:w="80" w:type="dxa"/>
              <w:end w:w="100" w:type="dxa"/>
            </w:tcMar>
          </w:tcPr>
          <w:p>
            <w:r>
              <w:rPr>
                <w:rFonts w:ascii="Times New Roman" w:hAnsi="Times New Roman"/>
                <w:b w:val="0"/>
                <w:i w:val="0"/>
                <w:sz w:val="19"/>
              </w:rPr>
              <w:t>It grants overly broad access to the Docker daemon.</w:t>
            </w:r>
          </w:p>
        </w:tc>
        <w:tc>
          <w:tcPr>
            <w:tcW w:type="dxa" w:w="3312"/>
            <w:tcMar>
              <w:top w:w="80" w:type="dxa"/>
              <w:start w:w="100" w:type="dxa"/>
              <w:bottom w:w="80" w:type="dxa"/>
              <w:end w:w="100" w:type="dxa"/>
            </w:tcMar>
          </w:tcPr>
          <w:p>
            <w:r>
              <w:rPr>
                <w:rFonts w:ascii="Times New Roman" w:hAnsi="Times New Roman"/>
                <w:b w:val="0"/>
                <w:i w:val="0"/>
                <w:sz w:val="19"/>
              </w:rPr>
              <w:t>Fix identity/group membership instead of weakening permissions.</w:t>
            </w:r>
          </w:p>
        </w:tc>
      </w:tr>
      <w:tr>
        <w:trPr>
          <w:cantSplit/>
        </w:trPr>
        <w:tc>
          <w:tcPr>
            <w:tcW w:type="dxa" w:w="3312"/>
            <w:tcMar>
              <w:top w:w="80" w:type="dxa"/>
              <w:start w:w="100" w:type="dxa"/>
              <w:bottom w:w="80" w:type="dxa"/>
              <w:end w:w="100" w:type="dxa"/>
            </w:tcMar>
          </w:tcPr>
          <w:p>
            <w:r>
              <w:rPr>
                <w:rFonts w:ascii="Times New Roman" w:hAnsi="Times New Roman"/>
                <w:b w:val="0"/>
                <w:i w:val="0"/>
                <w:sz w:val="19"/>
              </w:rPr>
              <w:t>What should teams update after creation?</w:t>
            </w:r>
          </w:p>
        </w:tc>
        <w:tc>
          <w:tcPr>
            <w:tcW w:type="dxa" w:w="3312"/>
            <w:tcMar>
              <w:top w:w="80" w:type="dxa"/>
              <w:start w:w="100" w:type="dxa"/>
              <w:bottom w:w="80" w:type="dxa"/>
              <w:end w:w="100" w:type="dxa"/>
            </w:tcMar>
          </w:tcPr>
          <w:p>
            <w:r>
              <w:rPr>
                <w:rFonts w:ascii="Times New Roman" w:hAnsi="Times New Roman"/>
                <w:b w:val="0"/>
                <w:i w:val="0"/>
                <w:sz w:val="19"/>
              </w:rPr>
              <w:t>Architecture, APIs, operational details, dependencies, decisions, and troubleshooting knowledge.</w:t>
            </w:r>
          </w:p>
        </w:tc>
        <w:tc>
          <w:tcPr>
            <w:tcW w:type="dxa" w:w="3312"/>
            <w:tcMar>
              <w:top w:w="80" w:type="dxa"/>
              <w:start w:w="100" w:type="dxa"/>
              <w:bottom w:w="80" w:type="dxa"/>
              <w:end w:w="100" w:type="dxa"/>
            </w:tcMar>
          </w:tcPr>
          <w:p>
            <w:r>
              <w:rPr>
                <w:rFonts w:ascii="Times New Roman" w:hAnsi="Times New Roman"/>
                <w:b w:val="0"/>
                <w:i w:val="0"/>
                <w:sz w:val="19"/>
              </w:rPr>
              <w:t>The platform provides the structure; teams keep the content accurate.</w:t>
            </w:r>
          </w:p>
        </w:tc>
      </w:tr>
    </w:tbl>
    <w:p>
      <w:pPr>
        <w:spacing w:after="20"/>
      </w:pPr>
    </w:p>
    <w:p>
      <w:pPr>
        <w:pStyle w:val="Heading1"/>
        <w:keepNext/>
      </w:pPr>
      <w:r>
        <w:t>Key Takeaway</w:t>
      </w:r>
    </w:p>
    <w:p>
      <w:r>
        <w:rPr>
          <w:rFonts w:ascii="Times New Roman" w:hAnsi="Times New Roman"/>
          <w:b w:val="0"/>
          <w:i w:val="0"/>
          <w:sz w:val="23"/>
        </w:rPr>
        <w:t>Documentation becomes a true platform capability when the Golden Path creates the right structure automatically, the Catalog makes it discoverable, and the runtime can reliably build and publish it. The goal is not to eliminate developer responsibility for knowledge—it is to remove repeated setup and make the expected documentation standard obvious.</w:t>
      </w:r>
    </w:p>
    <w:p>
      <w:r>
        <w:rPr>
          <w:rFonts w:ascii="Times New Roman" w:hAnsi="Times New Roman"/>
          <w:b w:val="0"/>
          <w:i w:val="0"/>
          <w:sz w:val="23"/>
        </w:rPr>
        <w:t>Developers should focus on service knowledge and business logic, while the platform provides the documentation framework, publishing mechanism, discoverability, ownership metadata, and consistent onboarding experience.</w:t>
      </w:r>
    </w:p>
    <w:p>
      <w:pPr>
        <w:pStyle w:val="Heading1"/>
        <w:keepNext/>
      </w:pPr>
      <w:r>
        <w:t>Optional Extension – Preview Docs Before Publishing</w:t>
      </w:r>
    </w:p>
    <w:p>
      <w:r>
        <w:rPr>
          <w:rFonts w:ascii="Times New Roman" w:hAnsi="Times New Roman"/>
          <w:b w:val="0"/>
          <w:i w:val="0"/>
          <w:sz w:val="23"/>
        </w:rPr>
        <w:t>For instructors or advanced participants, the TechDocs CLI can preview a documentation project during authoring. From a repository containing mkdocs.yml and docs/:</w:t>
      </w:r>
    </w:p>
    <w:tbl>
      <w:tblPr>
        <w:tblW w:type="auto" w:w="0"/>
        <w:jc w:val="left"/>
        <w:tblLayout w:type="autofit"/>
        <w:tblLook w:firstColumn="1" w:firstRow="1" w:lastColumn="0" w:lastRow="0" w:noHBand="0" w:noVBand="1" w:val="04A0"/>
      </w:tblPr>
      <w:tblGrid>
        <w:gridCol w:w="9936"/>
      </w:tblGrid>
      <w:tr>
        <w:tc>
          <w:tcPr>
            <w:tcW w:type="dxa" w:w="9936"/>
            <w:shd w:fill="F3F5F7"/>
            <w:tcMar>
              <w:top w:w="80" w:type="dxa"/>
              <w:start w:w="100" w:type="dxa"/>
              <w:bottom w:w="80" w:type="dxa"/>
              <w:end w:w="100" w:type="dxa"/>
            </w:tcMar>
          </w:tcPr>
          <w:p>
            <w:pPr>
              <w:pStyle w:val="CodeBlock"/>
              <w:keepLines/>
            </w:pPr>
            <w:r/>
            <w:r>
              <w:rPr>
                <w:rFonts w:ascii="Courier New" w:hAnsi="Courier New"/>
                <w:b w:val="0"/>
                <w:i w:val="0"/>
                <w:sz w:val="18"/>
              </w:rPr>
              <w:t>npx @techdocs/cli serve</w:t>
            </w:r>
          </w:p>
        </w:tc>
      </w:tr>
    </w:tbl>
    <w:p>
      <w:pPr>
        <w:spacing w:after="20"/>
      </w:pPr>
    </w:p>
    <w:p>
      <w:r>
        <w:rPr>
          <w:rFonts w:ascii="Times New Roman" w:hAnsi="Times New Roman"/>
          <w:b w:val="0"/>
          <w:i w:val="0"/>
          <w:sz w:val="23"/>
        </w:rPr>
        <w:t>This is optional and requires Docker in the default CLI workflow. It is useful for validating Markdown and navigation before relying on the Backstage Catalog build.</w:t>
      </w:r>
    </w:p>
    <w:p>
      <w:pPr>
        <w:pStyle w:val="Heading1"/>
        <w:keepNext/>
      </w:pPr>
      <w:r>
        <w:t>Production Design Note</w:t>
      </w:r>
    </w:p>
    <w:p>
      <w:r>
        <w:rPr>
          <w:rFonts w:ascii="Times New Roman" w:hAnsi="Times New Roman"/>
          <w:b w:val="0"/>
          <w:i w:val="0"/>
          <w:sz w:val="23"/>
        </w:rPr>
        <w:t>This lab intentionally uses the simple local TechDocs architecture because it is easy to demonstrate. For production environments, organizations commonly move generation to CI/CD and publish generated sites to external object storage. That separates documentation builds from the Backstage runtime and scales more cleanly. Keep the lab on the local configuration so participants can observe the full Prepare → Generate → Publish flow interactively.</w:t>
      </w:r>
    </w:p>
    <w:p>
      <w:pPr>
        <w:pStyle w:val="Heading1"/>
        <w:keepNext/>
      </w:pPr>
      <w:r>
        <w:t>Official References</w:t>
      </w:r>
    </w:p>
    <w:p>
      <w:r>
        <w:rPr>
          <w:rFonts w:ascii="Times New Roman" w:hAnsi="Times New Roman"/>
          <w:b/>
          <w:i w:val="0"/>
          <w:sz w:val="22"/>
        </w:rPr>
        <w:t xml:space="preserve">Backstage TechDocs – Getting Started: </w:t>
      </w:r>
      <w:hyperlink r:id="rId11">
        <w:r>
          <w:rPr>
            <w:color w:val="0563C1"/>
            <w:u w:val="single"/>
          </w:rPr>
          <w:t>backstage.io/docs/features/techdocs/getting-started/</w:t>
        </w:r>
      </w:hyperlink>
    </w:p>
    <w:p>
      <w:r>
        <w:rPr>
          <w:rFonts w:ascii="Times New Roman" w:hAnsi="Times New Roman"/>
          <w:b/>
          <w:i w:val="0"/>
          <w:sz w:val="22"/>
        </w:rPr>
        <w:t xml:space="preserve">Backstage TechDocs – Creating and Publishing Docs: </w:t>
      </w:r>
      <w:hyperlink r:id="rId12">
        <w:r>
          <w:rPr>
            <w:color w:val="0563C1"/>
            <w:u w:val="single"/>
          </w:rPr>
          <w:t>backstage.io/docs/features/techdocs/creating-and-publishing/</w:t>
        </w:r>
      </w:hyperlink>
    </w:p>
    <w:p>
      <w:r>
        <w:rPr>
          <w:rFonts w:ascii="Times New Roman" w:hAnsi="Times New Roman"/>
          <w:b/>
          <w:i w:val="0"/>
          <w:sz w:val="22"/>
        </w:rPr>
        <w:t xml:space="preserve">Backstage TechDocs – Troubleshooting: </w:t>
      </w:r>
      <w:hyperlink r:id="rId13">
        <w:r>
          <w:rPr>
            <w:color w:val="0563C1"/>
            <w:u w:val="single"/>
          </w:rPr>
          <w:t>backstage.io/docs/features/techdocs/troubleshooting/</w:t>
        </w:r>
      </w:hyperlink>
    </w:p>
    <w:p>
      <w:pPr>
        <w:pStyle w:val="Heading1"/>
        <w:keepNext/>
      </w:pPr>
      <w:r>
        <w:t>End of Lab</w:t>
      </w:r>
    </w:p>
    <w:p>
      <w:r>
        <w:rPr>
          <w:rFonts w:ascii="Times New Roman" w:hAnsi="Times New Roman"/>
          <w:b w:val="0"/>
          <w:i w:val="0"/>
          <w:sz w:val="23"/>
        </w:rPr>
        <w:t>Participants now understand TechDocs fundamentals, documentation-as-code, documentation by default, multi-page MkDocs navigation, TechDocs build stages, Golden Path integration, and the correct Docker permission troubleshooting workflow.</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595959"/>
        <w:sz w:val="18"/>
      </w:rPr>
      <w:t>Platform Engineering Hands-On Lab</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val="0"/>
        <w:i/>
        <w:color w:val="595959"/>
        <w:sz w:val="18"/>
      </w:rPr>
      <w:t>Lab 9 | Backstage TechDocs Golden Path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Times New Roman" w:hAnsi="Times New Roman"/>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Times New Roman" w:hAnsi="Times New Roman"/>
      <w:b/>
      <w:bCs/>
      <w:color w:val="5050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Times New Roman" w:hAnsi="Times New Roman"/>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20" w:after="2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ackstage.io/docs/features/techdocs/getting-started/" TargetMode="External"/><Relationship Id="rId12" Type="http://schemas.openxmlformats.org/officeDocument/2006/relationships/hyperlink" Target="https://backstage.io/docs/features/techdocs/creating-and-publishing/" TargetMode="External"/><Relationship Id="rId13" Type="http://schemas.openxmlformats.org/officeDocument/2006/relationships/hyperlink" Target="https://backstage.io/docs/features/techdocs/troubleshoo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9 – Documentation as a Golden Path with TechDocs</dc:title>
  <dc:subject>Comprehensive Backstage TechDocs Golden Path hands-on lab with corrected Docker permission troubleshooting</dc:subject>
  <dc:creator>Techlanders</dc:creator>
  <cp:keywords/>
  <dc:description>generated by python-docx</dc:description>
  <cp:lastModifiedBy/>
  <cp:revision>1</cp:revision>
  <dcterms:created xsi:type="dcterms:W3CDTF">2013-12-23T23:15:00Z</dcterms:created>
  <dcterms:modified xsi:type="dcterms:W3CDTF">2013-12-23T23:15:00Z</dcterms:modified>
  <cp:category/>
</cp:coreProperties>
</file>