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86D03" w14:textId="7AC61579" w:rsidR="004742F7" w:rsidRDefault="004742F7" w:rsidP="004742F7">
      <w:pPr>
        <w:pStyle w:val="Heading1"/>
        <w:spacing w:before="600" w:beforeAutospacing="0" w:after="0" w:afterAutospacing="0" w:line="320" w:lineRule="atLeast"/>
        <w:textAlignment w:val="baseline"/>
        <w:rPr>
          <w:rFonts w:ascii="inherit" w:hAnsi="inherit" w:cs="Helvetica"/>
          <w:color w:val="2E3D49"/>
          <w:sz w:val="36"/>
          <w:szCs w:val="36"/>
        </w:rPr>
      </w:pPr>
      <w:r>
        <w:rPr>
          <w:rFonts w:ascii="inherit" w:hAnsi="inherit" w:cs="Helvetica"/>
          <w:color w:val="2E3D49"/>
          <w:sz w:val="36"/>
          <w:szCs w:val="36"/>
        </w:rPr>
        <w:t xml:space="preserve">1.9 Temporal Difference Methods </w:t>
      </w:r>
      <w:r>
        <w:rPr>
          <w:rFonts w:ascii="inherit" w:hAnsi="inherit" w:cs="Helvetica"/>
          <w:color w:val="2E3D49"/>
          <w:sz w:val="36"/>
          <w:szCs w:val="36"/>
        </w:rPr>
        <w:t>Summary</w:t>
      </w:r>
    </w:p>
    <w:p w14:paraId="3DFAC064" w14:textId="77777777" w:rsidR="004742F7" w:rsidRDefault="004742F7" w:rsidP="004742F7">
      <w:pPr>
        <w:spacing w:line="320" w:lineRule="atLeast"/>
        <w:textAlignment w:val="baseline"/>
        <w:rPr>
          <w:rStyle w:val="Hyperlink"/>
          <w:b/>
          <w:bCs/>
          <w:color w:val="02B3E4"/>
          <w:sz w:val="23"/>
          <w:szCs w:val="23"/>
          <w:u w:val="none"/>
          <w:bdr w:val="none" w:sz="0" w:space="0" w:color="auto" w:frame="1"/>
        </w:rPr>
      </w:pPr>
      <w:r>
        <w:rPr>
          <w:rFonts w:ascii="inherit" w:hAnsi="inherit" w:cs="Helvetica"/>
          <w:color w:val="4F4F4F"/>
          <w:sz w:val="23"/>
          <w:szCs w:val="23"/>
        </w:rPr>
        <w:fldChar w:fldCharType="begin"/>
      </w:r>
      <w:r>
        <w:rPr>
          <w:rFonts w:ascii="inherit" w:hAnsi="inherit" w:cs="Helvetica"/>
          <w:color w:val="4F4F4F"/>
          <w:sz w:val="23"/>
          <w:szCs w:val="23"/>
        </w:rPr>
        <w:instrText xml:space="preserve"> HYPERLINK "https://classroom.udacity.com/nanodegrees/nd893/parts/8f607726-757e-4ef5-8b64-f2368755b89a/modules/a85374fa-6a60-425b-a480-85b211c5bd5d/lessons/78acdf66-f45c-418b-bbe1-30fda9e42c8c/concepts/b5f852a2-0378-4dbb-afc0-c16da612d66d" </w:instrText>
      </w:r>
      <w:r>
        <w:rPr>
          <w:rFonts w:ascii="inherit" w:hAnsi="inherit" w:cs="Helvetica"/>
          <w:color w:val="4F4F4F"/>
          <w:sz w:val="23"/>
          <w:szCs w:val="23"/>
        </w:rPr>
        <w:fldChar w:fldCharType="separate"/>
      </w:r>
    </w:p>
    <w:p w14:paraId="57B38DED" w14:textId="0A8D8995" w:rsidR="004742F7" w:rsidRDefault="004742F7" w:rsidP="004742F7">
      <w:pPr>
        <w:spacing w:line="320" w:lineRule="atLeast"/>
        <w:jc w:val="center"/>
        <w:textAlignment w:val="baseline"/>
      </w:pPr>
      <w:r>
        <w:rPr>
          <w:rFonts w:ascii="inherit" w:hAnsi="inherit" w:cs="Helvetica"/>
          <w:b/>
          <w:bCs/>
          <w:noProof/>
          <w:color w:val="02B3E4"/>
          <w:sz w:val="23"/>
          <w:szCs w:val="23"/>
          <w:bdr w:val="none" w:sz="0" w:space="0" w:color="auto" w:frame="1"/>
        </w:rPr>
        <w:drawing>
          <wp:inline distT="0" distB="0" distL="0" distR="0" wp14:anchorId="23D11134" wp14:editId="4D3BCF53">
            <wp:extent cx="5731510" cy="2287905"/>
            <wp:effectExtent l="0" t="0" r="2540" b="0"/>
            <wp:docPr id="2" name="Picture 2" descr="The cliff-walking task (Sutton and Barto, 2017)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liff-walking task (Sutton and Barto, 2017)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88F85" w14:textId="77777777" w:rsidR="004742F7" w:rsidRDefault="004742F7" w:rsidP="004742F7">
      <w:pPr>
        <w:pStyle w:val="NormalWeb"/>
        <w:spacing w:before="0" w:beforeAutospacing="0" w:after="0" w:afterAutospacing="0"/>
        <w:jc w:val="center"/>
        <w:textAlignment w:val="baseline"/>
        <w:rPr>
          <w:rFonts w:ascii="inherit" w:hAnsi="inherit" w:cs="Helvetica"/>
          <w:b/>
          <w:bCs/>
          <w:color w:val="2E3D49"/>
          <w:sz w:val="21"/>
          <w:szCs w:val="21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2E3D49"/>
          <w:sz w:val="21"/>
          <w:szCs w:val="21"/>
          <w:bdr w:val="none" w:sz="0" w:space="0" w:color="auto" w:frame="1"/>
        </w:rPr>
        <w:t>The cliff-walking task (Sutton and Barto, 2017)</w:t>
      </w:r>
    </w:p>
    <w:p w14:paraId="4686B3AA" w14:textId="77777777" w:rsidR="004742F7" w:rsidRDefault="004742F7" w:rsidP="004742F7">
      <w:pPr>
        <w:spacing w:line="320" w:lineRule="atLeast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fldChar w:fldCharType="end"/>
      </w:r>
    </w:p>
    <w:p w14:paraId="0520AA38" w14:textId="24C09E5D" w:rsidR="004742F7" w:rsidRPr="004742F7" w:rsidRDefault="004742F7" w:rsidP="004742F7">
      <w:pPr>
        <w:pStyle w:val="Heading3"/>
        <w:spacing w:before="420" w:beforeAutospacing="0" w:after="75" w:afterAutospacing="0" w:line="320" w:lineRule="atLeast"/>
        <w:textAlignment w:val="baseline"/>
        <w:rPr>
          <w:rFonts w:ascii="inherit" w:hAnsi="inherit" w:cs="Helvetica"/>
          <w:color w:val="2E3D49"/>
        </w:rPr>
      </w:pPr>
      <w:r>
        <w:rPr>
          <w:rFonts w:ascii="inherit" w:hAnsi="inherit" w:cs="Helvetica"/>
          <w:color w:val="2E3D49"/>
        </w:rPr>
        <w:t>Temporal-Difference Methods</w:t>
      </w:r>
    </w:p>
    <w:p w14:paraId="512ECF1B" w14:textId="77777777" w:rsidR="004742F7" w:rsidRDefault="004742F7" w:rsidP="004742F7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Whereas Monte Carlo (MC) prediction methods must wait until the end of an episode to update the value function estimate, temporal-difference (TD) methods update the value function after every time step.</w:t>
      </w:r>
    </w:p>
    <w:p w14:paraId="2EC67665" w14:textId="5F1F243A" w:rsidR="004742F7" w:rsidRPr="004742F7" w:rsidRDefault="004742F7" w:rsidP="004742F7">
      <w:pPr>
        <w:pStyle w:val="Heading3"/>
        <w:spacing w:before="420" w:beforeAutospacing="0" w:after="75" w:afterAutospacing="0" w:line="320" w:lineRule="atLeast"/>
        <w:textAlignment w:val="baseline"/>
        <w:rPr>
          <w:rFonts w:ascii="inherit" w:hAnsi="inherit" w:cs="Helvetica"/>
          <w:color w:val="2E3D49"/>
        </w:rPr>
      </w:pPr>
      <w:r>
        <w:rPr>
          <w:rFonts w:ascii="inherit" w:hAnsi="inherit" w:cs="Helvetica"/>
          <w:color w:val="2E3D49"/>
        </w:rPr>
        <w:t>TD Control</w:t>
      </w:r>
    </w:p>
    <w:p w14:paraId="0EB8BFB6" w14:textId="25C9B918" w:rsidR="004742F7" w:rsidRDefault="004742F7" w:rsidP="004742F7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proofErr w:type="gramStart"/>
      <w:r>
        <w:rPr>
          <w:rStyle w:val="Strong"/>
          <w:rFonts w:ascii="inherit" w:hAnsi="inherit" w:cs="Helvetica"/>
          <w:color w:val="4F4F4F"/>
          <w:sz w:val="23"/>
          <w:szCs w:val="23"/>
          <w:bdr w:val="none" w:sz="0" w:space="0" w:color="auto" w:frame="1"/>
        </w:rPr>
        <w:t>Sarsa(</w:t>
      </w:r>
      <w:proofErr w:type="gramEnd"/>
      <w:r>
        <w:rPr>
          <w:rStyle w:val="Strong"/>
          <w:rFonts w:ascii="inherit" w:hAnsi="inherit" w:cs="Helvetica"/>
          <w:color w:val="4F4F4F"/>
          <w:sz w:val="23"/>
          <w:szCs w:val="23"/>
          <w:bdr w:val="none" w:sz="0" w:space="0" w:color="auto" w:frame="1"/>
        </w:rPr>
        <w:t>0)</w:t>
      </w:r>
      <w:r>
        <w:rPr>
          <w:rFonts w:ascii="inherit" w:hAnsi="inherit" w:cs="Helvetica"/>
          <w:color w:val="4F4F4F"/>
          <w:sz w:val="23"/>
          <w:szCs w:val="23"/>
        </w:rPr>
        <w:t> (or </w:t>
      </w:r>
      <w:r>
        <w:rPr>
          <w:rStyle w:val="Strong"/>
          <w:rFonts w:ascii="inherit" w:hAnsi="inherit" w:cs="Helvetica"/>
          <w:color w:val="4F4F4F"/>
          <w:sz w:val="23"/>
          <w:szCs w:val="23"/>
          <w:bdr w:val="none" w:sz="0" w:space="0" w:color="auto" w:frame="1"/>
        </w:rPr>
        <w:t>Sarsa</w:t>
      </w:r>
      <w:r>
        <w:rPr>
          <w:rFonts w:ascii="inherit" w:hAnsi="inherit" w:cs="Helvetica"/>
          <w:color w:val="4F4F4F"/>
          <w:sz w:val="23"/>
          <w:szCs w:val="23"/>
        </w:rPr>
        <w:t>) is an on-policy TD control method. It is guaranteed to converge to the optimal action-value function 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q</w:t>
      </w:r>
      <w:r>
        <w:rPr>
          <w:rStyle w:val="mbin"/>
          <w:rFonts w:ascii="inherit" w:hAnsi="inherit"/>
          <w:color w:val="4F4F4F"/>
          <w:sz w:val="20"/>
          <w:szCs w:val="20"/>
          <w:bdr w:val="none" w:sz="0" w:space="0" w:color="auto" w:frame="1"/>
        </w:rPr>
        <w:t>∗</w:t>
      </w:r>
      <w:r>
        <w:rPr>
          <w:rStyle w:val="vlist-s"/>
          <w:rFonts w:ascii="inherit" w:hAnsi="inherit"/>
          <w:color w:val="4F4F4F"/>
          <w:sz w:val="2"/>
          <w:szCs w:val="2"/>
          <w:bdr w:val="none" w:sz="0" w:space="0" w:color="auto" w:frame="1"/>
        </w:rPr>
        <w:t>​</w:t>
      </w:r>
      <w:r>
        <w:rPr>
          <w:rFonts w:ascii="inherit" w:hAnsi="inherit" w:cs="Helvetica"/>
          <w:color w:val="4F4F4F"/>
          <w:sz w:val="23"/>
          <w:szCs w:val="23"/>
        </w:rPr>
        <w:t xml:space="preserve">, </w:t>
      </w:r>
      <w:proofErr w:type="gramStart"/>
      <w:r>
        <w:rPr>
          <w:rFonts w:ascii="inherit" w:hAnsi="inherit" w:cs="Helvetica"/>
          <w:color w:val="4F4F4F"/>
          <w:sz w:val="23"/>
          <w:szCs w:val="23"/>
        </w:rPr>
        <w:t>as long as</w:t>
      </w:r>
      <w:proofErr w:type="gramEnd"/>
      <w:r>
        <w:rPr>
          <w:rFonts w:ascii="inherit" w:hAnsi="inherit" w:cs="Helvetica"/>
          <w:color w:val="4F4F4F"/>
          <w:sz w:val="23"/>
          <w:szCs w:val="23"/>
        </w:rPr>
        <w:t xml:space="preserve"> the step-size parameter 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α</w:t>
      </w:r>
      <w:r>
        <w:rPr>
          <w:rFonts w:ascii="inherit" w:hAnsi="inherit" w:cs="Helvetica"/>
          <w:color w:val="4F4F4F"/>
          <w:sz w:val="23"/>
          <w:szCs w:val="23"/>
        </w:rPr>
        <w:t> is sufficiently small and 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ϵ</w:t>
      </w:r>
      <w:r>
        <w:rPr>
          <w:rFonts w:ascii="inherit" w:hAnsi="inherit" w:cs="Helvetica"/>
          <w:color w:val="4F4F4F"/>
          <w:sz w:val="23"/>
          <w:szCs w:val="23"/>
        </w:rPr>
        <w:t> is chosen to satisfy the </w:t>
      </w:r>
      <w:r>
        <w:rPr>
          <w:rStyle w:val="Strong"/>
          <w:rFonts w:ascii="inherit" w:hAnsi="inherit" w:cs="Helvetica"/>
          <w:color w:val="4F4F4F"/>
          <w:sz w:val="23"/>
          <w:szCs w:val="23"/>
          <w:bdr w:val="none" w:sz="0" w:space="0" w:color="auto" w:frame="1"/>
        </w:rPr>
        <w:t>Greedy in the Limit with Infinite Exploration (GLIE)</w:t>
      </w:r>
      <w:r>
        <w:rPr>
          <w:rFonts w:ascii="inherit" w:hAnsi="inherit" w:cs="Helvetica"/>
          <w:color w:val="4F4F4F"/>
          <w:sz w:val="23"/>
          <w:szCs w:val="23"/>
        </w:rPr>
        <w:t> conditions.</w:t>
      </w:r>
    </w:p>
    <w:p w14:paraId="46CE9856" w14:textId="2C3B8D37" w:rsidR="004742F7" w:rsidRDefault="004742F7" w:rsidP="004742F7">
      <w:pPr>
        <w:spacing w:after="0" w:line="240" w:lineRule="auto"/>
        <w:textAlignment w:val="baseline"/>
        <w:rPr>
          <w:rFonts w:ascii="inherit" w:hAnsi="inherit" w:cs="Helvetica"/>
          <w:color w:val="4F4F4F"/>
          <w:sz w:val="23"/>
          <w:szCs w:val="23"/>
        </w:rPr>
      </w:pPr>
      <w:r w:rsidRPr="004742F7">
        <w:rPr>
          <w:rFonts w:ascii="inherit" w:hAnsi="inherit" w:cs="Helvetica"/>
          <w:color w:val="4F4F4F"/>
          <w:sz w:val="23"/>
          <w:szCs w:val="23"/>
        </w:rPr>
        <w:drawing>
          <wp:inline distT="0" distB="0" distL="0" distR="0" wp14:anchorId="03A535B3" wp14:editId="3322D633">
            <wp:extent cx="5681965" cy="25979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7519" cy="270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5360" w14:textId="56D3B3CC" w:rsidR="004742F7" w:rsidRDefault="004742F7" w:rsidP="004742F7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Style w:val="Strong"/>
          <w:rFonts w:ascii="inherit" w:hAnsi="inherit" w:cs="Helvetica"/>
          <w:color w:val="4F4F4F"/>
          <w:sz w:val="23"/>
          <w:szCs w:val="23"/>
          <w:bdr w:val="none" w:sz="0" w:space="0" w:color="auto" w:frame="1"/>
        </w:rPr>
        <w:lastRenderedPageBreak/>
        <w:t>Sarsamax</w:t>
      </w:r>
      <w:r>
        <w:rPr>
          <w:rFonts w:ascii="inherit" w:hAnsi="inherit" w:cs="Helvetica"/>
          <w:color w:val="4F4F4F"/>
          <w:sz w:val="23"/>
          <w:szCs w:val="23"/>
        </w:rPr>
        <w:t> (or </w:t>
      </w:r>
      <w:r>
        <w:rPr>
          <w:rStyle w:val="Strong"/>
          <w:rFonts w:ascii="inherit" w:hAnsi="inherit" w:cs="Helvetica"/>
          <w:color w:val="4F4F4F"/>
          <w:sz w:val="23"/>
          <w:szCs w:val="23"/>
          <w:bdr w:val="none" w:sz="0" w:space="0" w:color="auto" w:frame="1"/>
        </w:rPr>
        <w:t>Q-Learning</w:t>
      </w:r>
      <w:r>
        <w:rPr>
          <w:rFonts w:ascii="inherit" w:hAnsi="inherit" w:cs="Helvetica"/>
          <w:color w:val="4F4F4F"/>
          <w:sz w:val="23"/>
          <w:szCs w:val="23"/>
        </w:rPr>
        <w:t>) is an off-policy TD control method. It is guaranteed to converge to the optimal action value function 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q</w:t>
      </w:r>
      <w:r>
        <w:rPr>
          <w:rStyle w:val="mbin"/>
          <w:rFonts w:ascii="inherit" w:hAnsi="inherit"/>
          <w:color w:val="4F4F4F"/>
          <w:sz w:val="20"/>
          <w:szCs w:val="20"/>
          <w:bdr w:val="none" w:sz="0" w:space="0" w:color="auto" w:frame="1"/>
        </w:rPr>
        <w:t>∗</w:t>
      </w:r>
      <w:r>
        <w:rPr>
          <w:rStyle w:val="vlist-s"/>
          <w:rFonts w:ascii="inherit" w:hAnsi="inherit"/>
          <w:color w:val="4F4F4F"/>
          <w:sz w:val="2"/>
          <w:szCs w:val="2"/>
          <w:bdr w:val="none" w:sz="0" w:space="0" w:color="auto" w:frame="1"/>
        </w:rPr>
        <w:t>​</w:t>
      </w:r>
      <w:r>
        <w:rPr>
          <w:rFonts w:ascii="inherit" w:hAnsi="inherit" w:cs="Helvetica"/>
          <w:color w:val="4F4F4F"/>
          <w:sz w:val="23"/>
          <w:szCs w:val="23"/>
        </w:rPr>
        <w:t>, under the same conditions that guarantee convergence of the Sarsa control algorithm.</w:t>
      </w:r>
    </w:p>
    <w:p w14:paraId="12A56F94" w14:textId="6DB9FA2E" w:rsidR="004742F7" w:rsidRDefault="004742F7" w:rsidP="004742F7">
      <w:pPr>
        <w:spacing w:after="0" w:line="240" w:lineRule="auto"/>
        <w:textAlignment w:val="baseline"/>
        <w:rPr>
          <w:rFonts w:ascii="inherit" w:hAnsi="inherit" w:cs="Helvetica"/>
          <w:color w:val="4F4F4F"/>
          <w:sz w:val="23"/>
          <w:szCs w:val="23"/>
        </w:rPr>
      </w:pPr>
      <w:r w:rsidRPr="004742F7">
        <w:rPr>
          <w:rFonts w:ascii="inherit" w:hAnsi="inherit" w:cs="Helvetica"/>
          <w:color w:val="4F4F4F"/>
          <w:sz w:val="23"/>
          <w:szCs w:val="23"/>
        </w:rPr>
        <w:drawing>
          <wp:inline distT="0" distB="0" distL="0" distR="0" wp14:anchorId="12BFBA83" wp14:editId="15257BA8">
            <wp:extent cx="5731510" cy="25317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4F6B" w14:textId="77777777" w:rsidR="004742F7" w:rsidRPr="004742F7" w:rsidRDefault="004742F7" w:rsidP="004742F7">
      <w:pPr>
        <w:spacing w:after="0" w:line="240" w:lineRule="auto"/>
        <w:textAlignment w:val="baseline"/>
        <w:rPr>
          <w:rStyle w:val="Strong"/>
          <w:rFonts w:ascii="inherit" w:hAnsi="inherit" w:cs="Helvetica"/>
          <w:b w:val="0"/>
          <w:bCs w:val="0"/>
          <w:color w:val="4F4F4F"/>
          <w:sz w:val="23"/>
          <w:szCs w:val="23"/>
        </w:rPr>
      </w:pPr>
    </w:p>
    <w:p w14:paraId="44C700CF" w14:textId="77777777" w:rsidR="004742F7" w:rsidRPr="004742F7" w:rsidRDefault="004742F7" w:rsidP="004742F7">
      <w:pPr>
        <w:spacing w:after="0" w:line="240" w:lineRule="auto"/>
        <w:textAlignment w:val="baseline"/>
        <w:rPr>
          <w:rStyle w:val="Strong"/>
          <w:rFonts w:ascii="inherit" w:hAnsi="inherit" w:cs="Helvetica"/>
          <w:b w:val="0"/>
          <w:bCs w:val="0"/>
          <w:color w:val="4F4F4F"/>
          <w:sz w:val="23"/>
          <w:szCs w:val="23"/>
        </w:rPr>
      </w:pPr>
    </w:p>
    <w:p w14:paraId="5B4E74CC" w14:textId="2176D18E" w:rsidR="004742F7" w:rsidRDefault="004742F7" w:rsidP="004742F7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Style w:val="Strong"/>
          <w:rFonts w:ascii="inherit" w:hAnsi="inherit" w:cs="Helvetica"/>
          <w:color w:val="4F4F4F"/>
          <w:sz w:val="23"/>
          <w:szCs w:val="23"/>
          <w:bdr w:val="none" w:sz="0" w:space="0" w:color="auto" w:frame="1"/>
        </w:rPr>
        <w:t>Expected Sarsa</w:t>
      </w:r>
      <w:r>
        <w:rPr>
          <w:rFonts w:ascii="inherit" w:hAnsi="inherit" w:cs="Helvetica"/>
          <w:color w:val="4F4F4F"/>
          <w:sz w:val="23"/>
          <w:szCs w:val="23"/>
        </w:rPr>
        <w:t> is an on-policy TD control method. It is guaranteed to converge to the optimal action value function 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q</w:t>
      </w:r>
      <w:r>
        <w:rPr>
          <w:rStyle w:val="mbin"/>
          <w:rFonts w:ascii="inherit" w:hAnsi="inherit"/>
          <w:color w:val="4F4F4F"/>
          <w:sz w:val="20"/>
          <w:szCs w:val="20"/>
          <w:bdr w:val="none" w:sz="0" w:space="0" w:color="auto" w:frame="1"/>
        </w:rPr>
        <w:t>∗</w:t>
      </w:r>
      <w:r>
        <w:rPr>
          <w:rStyle w:val="vlist-s"/>
          <w:rFonts w:ascii="inherit" w:hAnsi="inherit"/>
          <w:color w:val="4F4F4F"/>
          <w:sz w:val="2"/>
          <w:szCs w:val="2"/>
          <w:bdr w:val="none" w:sz="0" w:space="0" w:color="auto" w:frame="1"/>
        </w:rPr>
        <w:t>​</w:t>
      </w:r>
      <w:r>
        <w:rPr>
          <w:rFonts w:ascii="inherit" w:hAnsi="inherit" w:cs="Helvetica"/>
          <w:color w:val="4F4F4F"/>
          <w:sz w:val="23"/>
          <w:szCs w:val="23"/>
        </w:rPr>
        <w:t>, under the same conditions that guarantee convergence of Sarsa and Sarsamax.</w:t>
      </w:r>
    </w:p>
    <w:p w14:paraId="6651EB95" w14:textId="7D325D91" w:rsidR="004742F7" w:rsidRDefault="004742F7" w:rsidP="004742F7">
      <w:pPr>
        <w:spacing w:after="0" w:line="240" w:lineRule="auto"/>
        <w:textAlignment w:val="baseline"/>
        <w:rPr>
          <w:rFonts w:ascii="inherit" w:hAnsi="inherit" w:cs="Helvetica"/>
          <w:color w:val="4F4F4F"/>
          <w:sz w:val="23"/>
          <w:szCs w:val="23"/>
        </w:rPr>
      </w:pPr>
      <w:r w:rsidRPr="004742F7">
        <w:rPr>
          <w:rFonts w:ascii="inherit" w:hAnsi="inherit" w:cs="Helvetica"/>
          <w:color w:val="4F4F4F"/>
          <w:sz w:val="23"/>
          <w:szCs w:val="23"/>
        </w:rPr>
        <w:drawing>
          <wp:inline distT="0" distB="0" distL="0" distR="0" wp14:anchorId="103C8681" wp14:editId="2356F146">
            <wp:extent cx="5731510" cy="25057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97AA" w14:textId="77777777" w:rsidR="004742F7" w:rsidRDefault="004742F7" w:rsidP="004742F7">
      <w:pPr>
        <w:pStyle w:val="Heading3"/>
        <w:spacing w:before="420" w:beforeAutospacing="0" w:after="75" w:afterAutospacing="0" w:line="320" w:lineRule="atLeast"/>
        <w:textAlignment w:val="baseline"/>
        <w:rPr>
          <w:rFonts w:ascii="inherit" w:hAnsi="inherit" w:cs="Helvetica"/>
          <w:color w:val="2E3D49"/>
        </w:rPr>
      </w:pPr>
      <w:r>
        <w:rPr>
          <w:rFonts w:ascii="inherit" w:hAnsi="inherit" w:cs="Helvetica"/>
          <w:color w:val="2E3D49"/>
        </w:rPr>
        <w:t>Analyzing Performance</w:t>
      </w:r>
    </w:p>
    <w:p w14:paraId="153E41A2" w14:textId="77777777" w:rsidR="004742F7" w:rsidRDefault="004742F7" w:rsidP="004742F7">
      <w:pPr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pict w14:anchorId="1273E72D">
          <v:rect id="_x0000_i1028" style="width:0;height:0" o:hralign="center" o:hrstd="t" o:hr="t" fillcolor="#a0a0a0" stroked="f"/>
        </w:pict>
      </w:r>
    </w:p>
    <w:p w14:paraId="1068947C" w14:textId="77777777" w:rsidR="004742F7" w:rsidRDefault="004742F7" w:rsidP="004742F7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On-policy TD control methods (like Expected Sarsa and Sarsa) have better online performance than off-policy TD control methods (like Q-learning).</w:t>
      </w:r>
    </w:p>
    <w:p w14:paraId="1715081B" w14:textId="77777777" w:rsidR="004742F7" w:rsidRDefault="004742F7" w:rsidP="004742F7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Expected Sarsa generally achieves better performance than Sarsa.</w:t>
      </w:r>
    </w:p>
    <w:p w14:paraId="10E6F504" w14:textId="77777777" w:rsidR="00126F70" w:rsidRPr="004742F7" w:rsidRDefault="00126F70" w:rsidP="004742F7"/>
    <w:sectPr w:rsidR="00126F70" w:rsidRPr="00474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72FC"/>
    <w:multiLevelType w:val="multilevel"/>
    <w:tmpl w:val="F40C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893E0A"/>
    <w:multiLevelType w:val="multilevel"/>
    <w:tmpl w:val="66F6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030D3C"/>
    <w:multiLevelType w:val="multilevel"/>
    <w:tmpl w:val="D390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7D2A34"/>
    <w:multiLevelType w:val="multilevel"/>
    <w:tmpl w:val="AD38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3F6DFE"/>
    <w:multiLevelType w:val="multilevel"/>
    <w:tmpl w:val="F5C6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D048F3"/>
    <w:multiLevelType w:val="multilevel"/>
    <w:tmpl w:val="89DE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8E3678"/>
    <w:multiLevelType w:val="multilevel"/>
    <w:tmpl w:val="CAD2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D507C1"/>
    <w:multiLevelType w:val="multilevel"/>
    <w:tmpl w:val="64D0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6A0309"/>
    <w:multiLevelType w:val="multilevel"/>
    <w:tmpl w:val="3D1C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833849"/>
    <w:multiLevelType w:val="multilevel"/>
    <w:tmpl w:val="25A0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FF4372"/>
    <w:multiLevelType w:val="multilevel"/>
    <w:tmpl w:val="6322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0"/>
  </w:num>
  <w:num w:numId="5">
    <w:abstractNumId w:val="3"/>
  </w:num>
  <w:num w:numId="6">
    <w:abstractNumId w:val="8"/>
  </w:num>
  <w:num w:numId="7">
    <w:abstractNumId w:val="2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70"/>
    <w:rsid w:val="00126F70"/>
    <w:rsid w:val="00236B22"/>
    <w:rsid w:val="003865A1"/>
    <w:rsid w:val="0047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5E5E"/>
  <w15:chartTrackingRefBased/>
  <w15:docId w15:val="{1FBAD6A2-D456-422C-9387-00B6EEBD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6F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26F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F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26F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26F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6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6F70"/>
    <w:rPr>
      <w:b/>
      <w:bCs/>
    </w:rPr>
  </w:style>
  <w:style w:type="character" w:customStyle="1" w:styleId="katex-mathml">
    <w:name w:val="katex-mathml"/>
    <w:basedOn w:val="DefaultParagraphFont"/>
    <w:rsid w:val="00126F70"/>
  </w:style>
  <w:style w:type="character" w:customStyle="1" w:styleId="mord">
    <w:name w:val="mord"/>
    <w:basedOn w:val="DefaultParagraphFont"/>
    <w:rsid w:val="00126F70"/>
  </w:style>
  <w:style w:type="character" w:customStyle="1" w:styleId="vlist-s">
    <w:name w:val="vlist-s"/>
    <w:basedOn w:val="DefaultParagraphFont"/>
    <w:rsid w:val="00126F70"/>
  </w:style>
  <w:style w:type="character" w:customStyle="1" w:styleId="mpunct">
    <w:name w:val="mpunct"/>
    <w:basedOn w:val="DefaultParagraphFont"/>
    <w:rsid w:val="00126F70"/>
  </w:style>
  <w:style w:type="character" w:customStyle="1" w:styleId="mrel">
    <w:name w:val="mrel"/>
    <w:basedOn w:val="DefaultParagraphFont"/>
    <w:rsid w:val="00126F70"/>
  </w:style>
  <w:style w:type="character" w:customStyle="1" w:styleId="mopen">
    <w:name w:val="mopen"/>
    <w:basedOn w:val="DefaultParagraphFont"/>
    <w:rsid w:val="00126F70"/>
  </w:style>
  <w:style w:type="character" w:customStyle="1" w:styleId="mclose">
    <w:name w:val="mclose"/>
    <w:basedOn w:val="DefaultParagraphFont"/>
    <w:rsid w:val="00126F70"/>
  </w:style>
  <w:style w:type="character" w:styleId="Emphasis">
    <w:name w:val="Emphasis"/>
    <w:basedOn w:val="DefaultParagraphFont"/>
    <w:uiPriority w:val="20"/>
    <w:qFormat/>
    <w:rsid w:val="00126F70"/>
    <w:rPr>
      <w:i/>
      <w:iCs/>
    </w:rPr>
  </w:style>
  <w:style w:type="character" w:customStyle="1" w:styleId="mop">
    <w:name w:val="mop"/>
    <w:basedOn w:val="DefaultParagraphFont"/>
    <w:rsid w:val="00126F70"/>
  </w:style>
  <w:style w:type="character" w:customStyle="1" w:styleId="mbin">
    <w:name w:val="mbin"/>
    <w:basedOn w:val="DefaultParagraphFont"/>
    <w:rsid w:val="00126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562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956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980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9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65120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999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49087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57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7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10453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lassroom.udacity.com/nanodegrees/nd893/parts/8f607726-757e-4ef5-8b64-f2368755b89a/modules/a85374fa-6a60-425b-a480-85b211c5bd5d/lessons/78acdf66-f45c-418b-bbe1-30fda9e42c8c/concepts/b5f852a2-0378-4dbb-afc0-c16da612d66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Ramanpreet</dc:creator>
  <cp:keywords/>
  <dc:description/>
  <cp:lastModifiedBy>Ramanpreet</cp:lastModifiedBy>
  <cp:revision>4</cp:revision>
  <dcterms:created xsi:type="dcterms:W3CDTF">2020-06-11T02:14:00Z</dcterms:created>
  <dcterms:modified xsi:type="dcterms:W3CDTF">2020-06-15T08:00:00Z</dcterms:modified>
</cp:coreProperties>
</file>