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Q3 Supplier Performance Update</w:t>
      </w:r>
    </w:p>
    <w:p>
      <w:pPr>
        <w:spacing w:after="40"/>
      </w:pPr>
      <w:r>
        <w:rPr>
          <w:b/>
          <w:bCs/>
        </w:rPr>
        <w:t xml:space="preserve">Company: </w:t>
      </w:r>
      <w:r>
        <w:t xml:space="preserve">FreshCart (fictional grocery delivery business)</w:t>
      </w:r>
    </w:p>
    <w:p>
      <w:pPr>
        <w:spacing w:after="40"/>
      </w:pPr>
      <w:r>
        <w:rPr>
          <w:b/>
          <w:bCs/>
        </w:rPr>
        <w:t xml:space="preserve">Period covered: </w:t>
      </w:r>
      <w:r>
        <w:t xml:space="preserve">1 July to 30 September</w:t>
      </w:r>
    </w:p>
    <w:p>
      <w:pPr>
        <w:spacing w:after="40"/>
      </w:pPr>
      <w:r>
        <w:rPr>
          <w:b/>
          <w:bCs/>
        </w:rPr>
        <w:t xml:space="preserve">Prepared by: </w:t>
      </w:r>
      <w:r>
        <w:t xml:space="preserve">Arjun Shah, Operations Manager</w:t>
      </w:r>
    </w:p>
    <w:p>
      <w:pPr>
        <w:spacing w:after="40"/>
      </w:pPr>
      <w:r>
        <w:rPr>
          <w:b/>
          <w:bCs/>
        </w:rPr>
        <w:t xml:space="preserve">Prepared for: </w:t>
      </w:r>
      <w:r>
        <w:t xml:space="preserve">Meera Iyer, Procurement Lead</w:t>
      </w:r>
    </w:p>
    <w:p>
      <w:pPr>
        <w:spacing w:after="40"/>
      </w:pPr>
      <w:r>
        <w:rPr>
          <w:b/>
          <w:bCs/>
        </w:rPr>
        <w:t xml:space="preserve">Decision needed by: </w:t>
      </w:r>
      <w:r>
        <w:t xml:space="preserve">10 October</w:t>
      </w:r>
    </w:p>
    <w:p>
      <w:pPr>
        <w:spacing w:after="120" w:line="276"/>
      </w:pPr>
      <w:r>
        <w:t xml:space="preserve"/>
      </w:r>
    </w:p>
    <w:p>
      <w:pPr>
        <w:pStyle w:val="Heading1"/>
      </w:pPr>
      <w:r>
        <w:t xml:space="preserve">1. Purpose</w:t>
      </w:r>
    </w:p>
    <w:p>
      <w:pPr>
        <w:spacing w:after="120" w:line="276"/>
      </w:pPr>
      <w:r>
        <w:t xml:space="preserve">This update reviews how FreshCart's four main suppliers performed in the third quarter and recommends actions for the next contract cycle. It is intended to help the procurement team decide which supplier arrangements to keep, change or renegotiate before the festive-season ordering peak begins in late October.</w:t>
      </w:r>
    </w:p>
    <w:p>
      <w:pPr>
        <w:pStyle w:val="Heading1"/>
      </w:pPr>
      <w:r>
        <w:t xml:space="preserve">2. Background</w:t>
      </w:r>
    </w:p>
    <w:p>
      <w:pPr>
        <w:spacing w:after="120" w:line="276"/>
      </w:pPr>
      <w:r>
        <w:t xml:space="preserve">FreshCart currently sources vegetables, dairy, bakery products and fruit from four regional suppliers. Demand grew steadily through the quarter, with average daily orders rising from 1,600 in the second quarter to 1,850 in the third quarter. Across the 92 days of the quarter, FreshCart fulfilled about 170,200 customer orders.</w:t>
      </w:r>
    </w:p>
    <w:p>
      <w:pPr>
        <w:spacing w:after="120" w:line="276"/>
      </w:pPr>
      <w:r>
        <w:t xml:space="preserve">Higher volumes put more pressure on supplier deliveries. Customers are promised delivery within 90 minutes of ordering, so any supplier delay at the warehouse quickly becomes a late delivery for the customer. For that reason, on-time delivery, order fill rate and customer complaints are the three measures used in this review.</w:t>
      </w:r>
    </w:p>
    <w:p>
      <w:pPr>
        <w:pStyle w:val="Heading1"/>
      </w:pPr>
      <w:r>
        <w:t xml:space="preserve">3. Delivery Performance</w:t>
      </w:r>
    </w:p>
    <w:p>
      <w:pPr>
        <w:spacing w:after="120" w:line="276"/>
      </w:pPr>
      <w:r>
        <w:t xml:space="preserve">On-time delivery is the share of supplier deliveries that reached the FreshCart warehouse within the agreed morning window. Order fill rate is the share of ordered items that were actually supplied. Complaints are customer complaints that were traced back to a supplier product or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BBBBBB" w:sz="4"/>
              <w:left w:val="single" w:color="BBBBBB" w:sz="4"/>
              <w:bottom w:val="single" w:color="BBBBBB" w:sz="4"/>
              <w:right w:val="single" w:color="BBBBBB" w:sz="4"/>
            </w:tcBorders>
            <w:shd w:fill="1F5F8B" w:color="auto" w:val="clear"/>
            <w:tcMar>
              <w:top w:type="dxa" w:w="70"/>
              <w:left w:type="dxa" w:w="110"/>
              <w:bottom w:type="dxa" w:w="70"/>
              <w:right w:type="dxa" w:w="110"/>
            </w:tcMar>
          </w:tcPr>
          <w:p>
            <w:r>
              <w:rPr>
                <w:b/>
                <w:bCs/>
                <w:color w:val="FFFFFF"/>
                <w:sz w:val="20"/>
                <w:szCs w:val="20"/>
              </w:rPr>
              <w:t xml:space="preserve">Supplier</w:t>
            </w:r>
          </w:p>
        </w:tc>
        <w:tc>
          <w:tcPr>
            <w:tcW w:type="dxa" w:w="1500"/>
            <w:tcBorders>
              <w:top w:val="single" w:color="BBBBBB" w:sz="4"/>
              <w:left w:val="single" w:color="BBBBBB" w:sz="4"/>
              <w:bottom w:val="single" w:color="BBBBBB" w:sz="4"/>
              <w:right w:val="single" w:color="BBBBBB" w:sz="4"/>
            </w:tcBorders>
            <w:shd w:fill="1F5F8B" w:color="auto" w:val="clear"/>
            <w:tcMar>
              <w:top w:type="dxa" w:w="70"/>
              <w:left w:type="dxa" w:w="110"/>
              <w:bottom w:type="dxa" w:w="70"/>
              <w:right w:type="dxa" w:w="110"/>
            </w:tcMar>
          </w:tcPr>
          <w:p>
            <w:r>
              <w:rPr>
                <w:b/>
                <w:bCs/>
                <w:color w:val="FFFFFF"/>
                <w:sz w:val="20"/>
                <w:szCs w:val="20"/>
              </w:rPr>
              <w:t xml:space="preserve">On-time delivery</w:t>
            </w:r>
          </w:p>
        </w:tc>
        <w:tc>
          <w:tcPr>
            <w:tcW w:type="dxa" w:w="1500"/>
            <w:tcBorders>
              <w:top w:val="single" w:color="BBBBBB" w:sz="4"/>
              <w:left w:val="single" w:color="BBBBBB" w:sz="4"/>
              <w:bottom w:val="single" w:color="BBBBBB" w:sz="4"/>
              <w:right w:val="single" w:color="BBBBBB" w:sz="4"/>
            </w:tcBorders>
            <w:shd w:fill="1F5F8B" w:color="auto" w:val="clear"/>
            <w:tcMar>
              <w:top w:type="dxa" w:w="70"/>
              <w:left w:type="dxa" w:w="110"/>
              <w:bottom w:type="dxa" w:w="70"/>
              <w:right w:type="dxa" w:w="110"/>
            </w:tcMar>
          </w:tcPr>
          <w:p>
            <w:r>
              <w:rPr>
                <w:b/>
                <w:bCs/>
                <w:color w:val="FFFFFF"/>
                <w:sz w:val="20"/>
                <w:szCs w:val="20"/>
              </w:rPr>
              <w:t xml:space="preserve">Order fill rate</w:t>
            </w:r>
          </w:p>
        </w:tc>
        <w:tc>
          <w:tcPr>
            <w:tcW w:type="dxa" w:w="1500"/>
            <w:tcBorders>
              <w:top w:val="single" w:color="BBBBBB" w:sz="4"/>
              <w:left w:val="single" w:color="BBBBBB" w:sz="4"/>
              <w:bottom w:val="single" w:color="BBBBBB" w:sz="4"/>
              <w:right w:val="single" w:color="BBBBBB" w:sz="4"/>
            </w:tcBorders>
            <w:shd w:fill="1F5F8B" w:color="auto" w:val="clear"/>
            <w:tcMar>
              <w:top w:type="dxa" w:w="70"/>
              <w:left w:type="dxa" w:w="110"/>
              <w:bottom w:type="dxa" w:w="70"/>
              <w:right w:type="dxa" w:w="110"/>
            </w:tcMar>
          </w:tcPr>
          <w:p>
            <w:r>
              <w:rPr>
                <w:b/>
                <w:bCs/>
                <w:color w:val="FFFFFF"/>
                <w:sz w:val="20"/>
                <w:szCs w:val="20"/>
              </w:rPr>
              <w:t xml:space="preserve">Complaints</w:t>
            </w:r>
          </w:p>
        </w:tc>
        <w:tc>
          <w:tcPr>
            <w:tcW w:type="dxa" w:w="2026"/>
            <w:tcBorders>
              <w:top w:val="single" w:color="BBBBBB" w:sz="4"/>
              <w:left w:val="single" w:color="BBBBBB" w:sz="4"/>
              <w:bottom w:val="single" w:color="BBBBBB" w:sz="4"/>
              <w:right w:val="single" w:color="BBBBBB" w:sz="4"/>
            </w:tcBorders>
            <w:shd w:fill="1F5F8B" w:color="auto" w:val="clear"/>
            <w:tcMar>
              <w:top w:type="dxa" w:w="70"/>
              <w:left w:type="dxa" w:w="110"/>
              <w:bottom w:type="dxa" w:w="70"/>
              <w:right w:type="dxa" w:w="110"/>
            </w:tcMar>
          </w:tcPr>
          <w:p>
            <w:r>
              <w:rPr>
                <w:b/>
                <w:bCs/>
                <w:color w:val="FFFFFF"/>
                <w:sz w:val="20"/>
                <w:szCs w:val="20"/>
              </w:rPr>
              <w:t xml:space="preserve">Price change from Q2</w:t>
            </w:r>
          </w:p>
        </w:tc>
      </w:tr>
      <w:t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Green Acre Farms (vegetables)</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94%</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97%</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41</w:t>
            </w:r>
          </w:p>
        </w:tc>
        <w:tc>
          <w:tcPr>
            <w:tcW w:type="dxa" w:w="2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+3%</w:t>
            </w:r>
          </w:p>
        </w:tc>
      </w:tr>
      <w:t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Coastal Dairy Co. (dairy)</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88%</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93%</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63</w:t>
            </w:r>
          </w:p>
        </w:tc>
        <w:tc>
          <w:tcPr>
            <w:tcW w:type="dxa" w:w="2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+6%</w:t>
            </w:r>
          </w:p>
        </w:tc>
      </w:tr>
      <w:t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Sunrise Bakers (bakery)</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96%</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98%</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12</w:t>
            </w:r>
          </w:p>
        </w:tc>
        <w:tc>
          <w:tcPr>
            <w:tcW w:type="dxa" w:w="2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0%</w:t>
            </w:r>
          </w:p>
        </w:tc>
      </w:tr>
      <w:t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Harvest Ridge Produce (fruit)</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81%</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89%</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97</w:t>
            </w:r>
          </w:p>
        </w:tc>
        <w:tc>
          <w:tcPr>
            <w:tcW w:type="dxa" w:w="2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+2%</w:t>
            </w:r>
          </w:p>
        </w:tc>
      </w:tr>
    </w:tbl>
    <w:p>
      <w:pPr>
        <w:spacing w:after="120" w:line="276"/>
      </w:pPr>
      <w:r>
        <w:t xml:space="preserve"/>
      </w:r>
    </w:p>
    <w:p>
      <w:pPr>
        <w:spacing w:after="120" w:line="276"/>
      </w:pPr>
      <w:r>
        <w:t xml:space="preserve">Across all four suppliers, FreshCart received 213 supplier-related complaints in the quarter. Sunrise Bakers was the strongest performer on every measure and held its prices flat. Harvest Ridge Produce was the weakest, with the lowest on-time rate, the lowest fill rate and nearly half of all complaints.</w:t>
      </w:r>
    </w:p>
    <w:p>
      <w:pPr>
        <w:pStyle w:val="Heading1"/>
      </w:pPr>
      <w:r>
        <w:t xml:space="preserve">4. Supplier Findings</w:t>
      </w:r>
    </w:p>
    <w:p>
      <w:pPr>
        <w:pStyle w:val="Heading2"/>
      </w:pPr>
      <w:r>
        <w:t xml:space="preserve">4.1 Green Acre Farms</w:t>
      </w:r>
    </w:p>
    <w:p>
      <w:pPr>
        <w:spacing w:after="120" w:line="276"/>
      </w:pPr>
      <w:r>
        <w:t xml:space="preserve">Green Acre Farms delivered reliably, with 94% of deliveries on time and a 97% fill rate. The 41 complaints were mostly about the freshness of leafy vegetables during the two weeks of heavy rain in July. The supplier has since adjusted its harvest timing and no repeat pattern was seen in August or September. A 3% price increase took effect in July and is within the range agreed in the existing contract.</w:t>
      </w:r>
    </w:p>
    <w:p>
      <w:pPr>
        <w:pStyle w:val="Heading2"/>
      </w:pPr>
      <w:r>
        <w:t xml:space="preserve">4.2 Coastal Dairy Co.</w:t>
      </w:r>
    </w:p>
    <w:p>
      <w:pPr>
        <w:spacing w:after="120" w:line="276"/>
      </w:pPr>
      <w:r>
        <w:t xml:space="preserve">Coastal Dairy Co. achieved 88% on-time delivery and a 93% fill rate. Its 63 complaints were the second highest of the four suppliers. On 14 August, a cooling failure on a delivery vehicle caused 1,120 units of yoghurt to be discarded at the warehouse because the cold chain had been broken. The supplier accepted responsibility and issued a credit note of Rs 2.4 lakh, which has been received.</w:t>
      </w:r>
    </w:p>
    <w:p>
      <w:pPr>
        <w:spacing w:after="120" w:line="276"/>
      </w:pPr>
      <w:r>
        <w:t xml:space="preserve">Coastal Dairy has stated that the cooling unit was repaired on 20 August and that temperature sensors were installed in all delivery vehicles. It has also announced a 6% price increase to take effect from 1 October, which is the largest of any supplier.</w:t>
      </w:r>
    </w:p>
    <w:p>
      <w:pPr>
        <w:pStyle w:val="Heading2"/>
      </w:pPr>
      <w:r>
        <w:t xml:space="preserve">4.3 Sunrise Bakers</w:t>
      </w:r>
    </w:p>
    <w:p>
      <w:pPr>
        <w:spacing w:after="120" w:line="276"/>
      </w:pPr>
      <w:r>
        <w:t xml:space="preserve">Sunrise Bakers delivered 96% of orders on time with a 98% fill rate and only 12 complaints. Prices were unchanged. The supplier has confirmed that it has spare production capacity and could supply higher volumes during the festive season.</w:t>
      </w:r>
    </w:p>
    <w:p>
      <w:pPr>
        <w:pStyle w:val="Heading2"/>
      </w:pPr>
      <w:r>
        <w:t xml:space="preserve">4.4 Harvest Ridge Produce</w:t>
      </w:r>
    </w:p>
    <w:p>
      <w:pPr>
        <w:spacing w:after="120" w:line="276"/>
      </w:pPr>
      <w:r>
        <w:t xml:space="preserve">Harvest Ridge Produce had the weakest quarter. Only 81% of deliveries were on time, the fill rate was 89%, and 97 complaints were recorded. Most late deliveries occurred on Monday and Friday mornings. The supplier explained that it operates a single delivery vehicle for its FreshCart route and that any breakdown or traffic delay affects the whole delivery. It has committed to adding a second vehicle from 1 November. A 2% price increase applied during the quarter.</w:t>
      </w:r>
    </w:p>
    <w:p>
      <w:pPr>
        <w:pStyle w:val="Heading1"/>
      </w:pPr>
      <w:r>
        <w:t xml:space="preserve">5. Risks</w:t>
      </w:r>
    </w:p>
    <w:p>
      <w:pPr>
        <w:pStyle w:val="ListParagraph"/>
        <w:numPr>
          <w:ilvl w:val="0"/>
          <w:numId w:val="2"/>
        </w:numPr>
        <w:spacing w:after="60"/>
      </w:pPr>
      <w:r>
        <w:t xml:space="preserve">Festive-season demand is expected to rise well above current levels, and Harvest Ridge Produce may not be able to cope before its second vehicle arrives on 1 November.</w:t>
      </w:r>
    </w:p>
    <w:p>
      <w:pPr>
        <w:pStyle w:val="ListParagraph"/>
        <w:numPr>
          <w:ilvl w:val="0"/>
          <w:numId w:val="2"/>
        </w:numPr>
        <w:spacing w:after="60"/>
      </w:pPr>
      <w:r>
        <w:t xml:space="preserve">A second cold-chain failure at Coastal Dairy would affect both customer trust and product waste, and would be harder to justify after the August incident.</w:t>
      </w:r>
    </w:p>
    <w:p>
      <w:pPr>
        <w:pStyle w:val="ListParagraph"/>
        <w:numPr>
          <w:ilvl w:val="0"/>
          <w:numId w:val="2"/>
        </w:numPr>
        <w:spacing w:after="60"/>
      </w:pPr>
      <w:r>
        <w:t xml:space="preserve">Price increases from three suppliers will reduce margin unless they are offset by volume commitments or product mix changes.</w:t>
      </w:r>
    </w:p>
    <w:p>
      <w:pPr>
        <w:pStyle w:val="ListParagraph"/>
        <w:numPr>
          <w:ilvl w:val="0"/>
          <w:numId w:val="2"/>
        </w:numPr>
        <w:spacing w:after="60"/>
      </w:pPr>
      <w:r>
        <w:t xml:space="preserve">Reliance on a single bakery supplier leaves FreshCart exposed if Sunrise Bakers has a production issue.</w:t>
      </w:r>
    </w:p>
    <w:p>
      <w:pPr>
        <w:pStyle w:val="Heading1"/>
      </w:pPr>
      <w:r>
        <w:t xml:space="preserve">6. Recommendations</w:t>
      </w:r>
    </w:p>
    <w:p>
      <w:pPr>
        <w:pStyle w:val="ListParagraph"/>
        <w:numPr>
          <w:ilvl w:val="0"/>
          <w:numId w:val="3"/>
        </w:numPr>
        <w:spacing w:after="60"/>
      </w:pPr>
      <w:r>
        <w:t xml:space="preserve">Place Harvest Ridge Produce on a 60-day improvement plan, with weekly on-time and fill-rate reviews, until the second vehicle is in service.</w:t>
      </w:r>
    </w:p>
    <w:p>
      <w:pPr>
        <w:pStyle w:val="ListParagraph"/>
        <w:numPr>
          <w:ilvl w:val="0"/>
          <w:numId w:val="3"/>
        </w:numPr>
        <w:spacing w:after="60"/>
      </w:pPr>
      <w:r>
        <w:t xml:space="preserve">Require Coastal Dairy Co. to provide weekly temperature logs for all deliveries, and use the 6% price increase as the basis for a renegotiation.</w:t>
      </w:r>
    </w:p>
    <w:p>
      <w:pPr>
        <w:pStyle w:val="ListParagraph"/>
        <w:numPr>
          <w:ilvl w:val="0"/>
          <w:numId w:val="3"/>
        </w:numPr>
        <w:spacing w:after="60"/>
      </w:pPr>
      <w:r>
        <w:t xml:space="preserve">Offer Coastal Dairy Co. a 12-month contract only if the price increase is reduced and a penalty clause for cold-chain failures is added.</w:t>
      </w:r>
    </w:p>
    <w:p>
      <w:pPr>
        <w:pStyle w:val="ListParagraph"/>
        <w:numPr>
          <w:ilvl w:val="0"/>
          <w:numId w:val="3"/>
        </w:numPr>
        <w:spacing w:after="60"/>
      </w:pPr>
      <w:r>
        <w:t xml:space="preserve">Increase orders from Sunrise Bakers by 10% ahead of the festive season, and identify a backup bakery supplier.</w:t>
      </w:r>
    </w:p>
    <w:p>
      <w:pPr>
        <w:pStyle w:val="ListParagraph"/>
        <w:numPr>
          <w:ilvl w:val="0"/>
          <w:numId w:val="3"/>
        </w:numPr>
        <w:spacing w:after="60"/>
      </w:pPr>
      <w:r>
        <w:t xml:space="preserve">Continue with Green Acre Farms on current terms and review again at the end of Q4.</w:t>
      </w:r>
    </w:p>
    <w:p>
      <w:pPr>
        <w:pStyle w:val="Heading1"/>
      </w:pPr>
      <w:r>
        <w:t xml:space="preserve">7. Next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600"/>
        <w:gridCol w:w="2526"/>
      </w:tblGrid>
      <w:tr>
        <w:trPr>
          <w:tblHeader/>
        </w:trPr>
        <w:tc>
          <w:tcPr>
            <w:tcW w:type="dxa" w:w="3900"/>
            <w:tcBorders>
              <w:top w:val="single" w:color="BBBBBB" w:sz="4"/>
              <w:left w:val="single" w:color="BBBBBB" w:sz="4"/>
              <w:bottom w:val="single" w:color="BBBBBB" w:sz="4"/>
              <w:right w:val="single" w:color="BBBBBB" w:sz="4"/>
            </w:tcBorders>
            <w:shd w:fill="1F5F8B" w:color="auto" w:val="clear"/>
            <w:tcMar>
              <w:top w:type="dxa" w:w="70"/>
              <w:left w:type="dxa" w:w="110"/>
              <w:bottom w:type="dxa" w:w="70"/>
              <w:right w:type="dxa" w:w="110"/>
            </w:tcMar>
          </w:tcPr>
          <w:p>
            <w:r>
              <w:rPr>
                <w:b/>
                <w:bCs/>
                <w:color w:val="FFFFFF"/>
                <w:sz w:val="20"/>
                <w:szCs w:val="20"/>
              </w:rPr>
              <w:t xml:space="preserve">Action</w:t>
            </w:r>
          </w:p>
        </w:tc>
        <w:tc>
          <w:tcPr>
            <w:tcW w:type="dxa" w:w="2600"/>
            <w:tcBorders>
              <w:top w:val="single" w:color="BBBBBB" w:sz="4"/>
              <w:left w:val="single" w:color="BBBBBB" w:sz="4"/>
              <w:bottom w:val="single" w:color="BBBBBB" w:sz="4"/>
              <w:right w:val="single" w:color="BBBBBB" w:sz="4"/>
            </w:tcBorders>
            <w:shd w:fill="1F5F8B" w:color="auto" w:val="clear"/>
            <w:tcMar>
              <w:top w:type="dxa" w:w="70"/>
              <w:left w:type="dxa" w:w="110"/>
              <w:bottom w:type="dxa" w:w="70"/>
              <w:right w:type="dxa" w:w="110"/>
            </w:tcMar>
          </w:tcPr>
          <w:p>
            <w:r>
              <w:rPr>
                <w:b/>
                <w:bCs/>
                <w:color w:val="FFFFFF"/>
                <w:sz w:val="20"/>
                <w:szCs w:val="20"/>
              </w:rPr>
              <w:t xml:space="preserve">Owner</w:t>
            </w:r>
          </w:p>
        </w:tc>
        <w:tc>
          <w:tcPr>
            <w:tcW w:type="dxa" w:w="2526"/>
            <w:tcBorders>
              <w:top w:val="single" w:color="BBBBBB" w:sz="4"/>
              <w:left w:val="single" w:color="BBBBBB" w:sz="4"/>
              <w:bottom w:val="single" w:color="BBBBBB" w:sz="4"/>
              <w:right w:val="single" w:color="BBBBBB" w:sz="4"/>
            </w:tcBorders>
            <w:shd w:fill="1F5F8B" w:color="auto" w:val="clear"/>
            <w:tcMar>
              <w:top w:type="dxa" w:w="70"/>
              <w:left w:type="dxa" w:w="110"/>
              <w:bottom w:type="dxa" w:w="70"/>
              <w:right w:type="dxa" w:w="110"/>
            </w:tcMar>
          </w:tcPr>
          <w:p>
            <w:r>
              <w:rPr>
                <w:b/>
                <w:bCs/>
                <w:color w:val="FFFFFF"/>
                <w:sz w:val="20"/>
                <w:szCs w:val="20"/>
              </w:rPr>
              <w:t xml:space="preserve">Target date</w:t>
            </w:r>
          </w:p>
        </w:tc>
      </w:tr>
      <w:tr>
        <w:tc>
          <w:tcPr>
            <w:tcW w:type="dxa" w:w="3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Share improvement plan with Harvest Ridge Produce</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Arjun Shah</w:t>
            </w:r>
          </w:p>
        </w:tc>
        <w:tc>
          <w:tcPr>
            <w:tcW w:type="dxa" w:w="2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3 October</w:t>
            </w:r>
          </w:p>
        </w:tc>
      </w:tr>
      <w:tr>
        <w:tc>
          <w:tcPr>
            <w:tcW w:type="dxa" w:w="3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Request weekly temperature logs from Coastal Dairy Co.</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Kavita Rao (Quality Lead)</w:t>
            </w:r>
          </w:p>
        </w:tc>
        <w:tc>
          <w:tcPr>
            <w:tcW w:type="dxa" w:w="2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3 October</w:t>
            </w:r>
          </w:p>
        </w:tc>
      </w:tr>
      <w:tr>
        <w:tc>
          <w:tcPr>
            <w:tcW w:type="dxa" w:w="3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Open price renegotiation with Coastal Dairy Co.</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Meera Iyer</w:t>
            </w:r>
          </w:p>
        </w:tc>
        <w:tc>
          <w:tcPr>
            <w:tcW w:type="dxa" w:w="2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10 October</w:t>
            </w:r>
          </w:p>
        </w:tc>
      </w:tr>
      <w:tr>
        <w:tc>
          <w:tcPr>
            <w:tcW w:type="dxa" w:w="3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Confirm festive-season volumes with Sunrise Bakers</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Meera Iyer</w:t>
            </w:r>
          </w:p>
        </w:tc>
        <w:tc>
          <w:tcPr>
            <w:tcW w:type="dxa" w:w="2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15 October</w:t>
            </w:r>
          </w:p>
        </w:tc>
      </w:tr>
      <w:tr>
        <w:tc>
          <w:tcPr>
            <w:tcW w:type="dxa" w:w="3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Shortlist backup bakery suppliers</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Arjun Shah</w:t>
            </w:r>
          </w:p>
        </w:tc>
        <w:tc>
          <w:tcPr>
            <w:tcW w:type="dxa" w:w="25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b w:val="false"/>
                <w:bCs w:val="false"/>
                <w:sz w:val="20"/>
                <w:szCs w:val="20"/>
              </w:rPr>
              <w:t xml:space="preserve">24 October</w:t>
            </w:r>
          </w:p>
        </w:tc>
      </w:tr>
    </w:tbl>
    <w:p>
      <w:pPr>
        <w:spacing w:after="120" w:line="276"/>
      </w:pPr>
      <w:r>
        <w:t xml:space="preserve"/>
      </w:r>
    </w:p>
    <w:p>
      <w:pPr>
        <w:spacing w:after="120" w:line="276"/>
      </w:pPr>
      <w:r>
        <w:t xml:space="preserve">All figures in this document are synthetic and were created for training purposes.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FreshCart Q3 Supplier Performance Update | Synthetic training data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0F2C4C"/>
      <w:sz w:val="40"/>
      <w:szCs w:val="40"/>
    </w:rPr>
  </w:style>
  <w:style w:type="paragraph" w:styleId="Heading1">
    <w:name w:val="Heading 1"/>
    <w:basedOn w:val="Normal"/>
    <w:next w:val="Normal"/>
    <w:qFormat/>
    <w:pPr>
      <w:spacing w:after="120" w:before="280"/>
      <w:outlineLvl w:val="0"/>
    </w:pPr>
    <w:rPr>
      <w:rFonts w:ascii="Calibri" w:cs="Calibri" w:eastAsia="Calibri" w:hAnsi="Calibri"/>
      <w:b/>
      <w:bCs/>
      <w:color w:val="1F5F8B"/>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0E9A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2026-09-24T20:10:08.229Z</dcterms:created>
  <dcterms:modified xsi:type="dcterms:W3CDTF">2026-09-24T20:10:08.229Z</dcterms:modified>
</cp:coreProperties>
</file>

<file path=docProps/custom.xml><?xml version="1.0" encoding="utf-8"?>
<Properties xmlns="http://schemas.openxmlformats.org/officeDocument/2006/custom-properties" xmlns:vt="http://schemas.openxmlformats.org/officeDocument/2006/docPropsVTypes"/>
</file>