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D44" w:rsidRDefault="00824DEE" w:rsidP="0032660E">
      <w:pPr>
        <w:rPr>
          <w:b/>
        </w:rPr>
      </w:pPr>
      <w:r>
        <w:rPr>
          <w:b/>
        </w:rPr>
        <w:t>OE</w:t>
      </w:r>
      <w:r w:rsidR="00FC3D44">
        <w:rPr>
          <w:b/>
        </w:rPr>
        <w:t>C</w:t>
      </w:r>
      <w:r>
        <w:rPr>
          <w:b/>
        </w:rPr>
        <w:t>D</w:t>
      </w:r>
      <w:bookmarkStart w:id="0" w:name="_GoBack"/>
      <w:bookmarkEnd w:id="0"/>
    </w:p>
    <w:p w:rsidR="00FC3D44" w:rsidRDefault="00FC3D44" w:rsidP="00FC3D44">
      <w:pPr>
        <w:ind w:left="720"/>
      </w:pPr>
      <w:r w:rsidRPr="00FC3D44">
        <w:rPr>
          <w:b/>
        </w:rPr>
        <w:t>Official Development Assistance (ODA)</w:t>
      </w:r>
      <w:r>
        <w:t xml:space="preserve"> - </w:t>
      </w:r>
      <w:r w:rsidRPr="00FC3D44">
        <w:t>Grants or loans to countries and territories on the DAC List of ODA Recipients (developing countries) and to multilateral agencies which are: (a) undertaken by the official sector; (b) with promotion of economic development and welfare as the main objective; (c) at concessional financial terms (if a loan, having a grant element of at least 25 per cent). In addition to financial flows, technical co-operation is included in aid. Grants, loans and credits for military purposes are excluded. Transfer payments to private individuals (e.g. pensions, reparations or insurance payouts) are in general not counted.</w:t>
      </w:r>
    </w:p>
    <w:p w:rsidR="00FC3D44" w:rsidRDefault="00FC3D44" w:rsidP="00FC3D44">
      <w:pPr>
        <w:ind w:left="720"/>
      </w:pPr>
      <w:r w:rsidRPr="00FC3D44">
        <w:rPr>
          <w:b/>
        </w:rPr>
        <w:t>Other Official Flows (OOF)</w:t>
      </w:r>
      <w:r>
        <w:t xml:space="preserve"> - </w:t>
      </w:r>
      <w:r w:rsidRPr="00FC3D44">
        <w:t>Transactions by the official sector with countries on the DAC List of ODA Recipients which do not meet the conditions for eligibility as Official Development Assistance, either because they are not primarily aimed at development, or because they have a grant element of less than 25 per cent.</w:t>
      </w:r>
    </w:p>
    <w:p w:rsidR="00FC3D44" w:rsidRDefault="00FC3D44" w:rsidP="00FC3D44">
      <w:pPr>
        <w:ind w:left="720"/>
      </w:pPr>
      <w:r w:rsidRPr="00FC3D44">
        <w:rPr>
          <w:b/>
        </w:rPr>
        <w:t>Private Flows</w:t>
      </w:r>
      <w:r>
        <w:t xml:space="preserve"> - Consist of flows at market terms financed out of private sector resources (i.e. changes in holdings of private long-term assets held by residents of the reporting country) and private grants (i.e. grants by non-governmental organizations and other private bodies, net of subsidies received from the official sector).</w:t>
      </w:r>
    </w:p>
    <w:p w:rsidR="00FC3D44" w:rsidRDefault="00FC3D44" w:rsidP="00FC3D44">
      <w:pPr>
        <w:ind w:left="720"/>
      </w:pPr>
      <w:r>
        <w:t>In data presentations which focus on the outflow of funds from donors, private flows other than foreign direct investment are restricted to credits with a maturity of greater than one year and are usually divided into:</w:t>
      </w:r>
    </w:p>
    <w:p w:rsidR="00FC3D44" w:rsidRDefault="00FC3D44" w:rsidP="00FC3D44">
      <w:pPr>
        <w:ind w:left="720"/>
      </w:pPr>
      <w:r>
        <w:t>Foreign direct investment: Investment made to acquire or add to a lasting interest in an enterprise in a country on the DAC List of ODA Recipients. "Lasting interest" implies a long-term relationship where the direct investor has a significant influence on the management of the enterprise, reflected by ownership of at least 10% of the shares, or equivalent voting power or other means of control. In practice, it is recorded as the change in the net worth of a subsidiary in a recipient country to the parent company, as shown in the books of the latter.</w:t>
      </w:r>
    </w:p>
    <w:p w:rsidR="00FC3D44" w:rsidRDefault="00FC3D44" w:rsidP="00FC3D44">
      <w:pPr>
        <w:ind w:left="720"/>
      </w:pPr>
      <w:r>
        <w:t>Private export credits: See export credits.</w:t>
      </w:r>
    </w:p>
    <w:p w:rsidR="00FC3D44" w:rsidRDefault="00FC3D44" w:rsidP="00FC3D44">
      <w:pPr>
        <w:ind w:left="720"/>
      </w:pPr>
      <w:r>
        <w:t>Securities of multilateral agencies: This covers the transactions of the private non-bank and bank sector in bonds, debentures, etc., issued by multilateral institutions.</w:t>
      </w:r>
    </w:p>
    <w:p w:rsidR="00FC3D44" w:rsidRDefault="00FC3D44" w:rsidP="00FC3D44">
      <w:pPr>
        <w:ind w:left="720"/>
      </w:pPr>
      <w:r>
        <w:t>Bilateral portfolio investment and other: Includes bank lending and the purchase of shares, bonds and real estate.</w:t>
      </w:r>
    </w:p>
    <w:p w:rsidR="00FC3D44" w:rsidRPr="00FC3D44" w:rsidRDefault="00FC3D44" w:rsidP="00FC3D44">
      <w:pPr>
        <w:ind w:left="720"/>
      </w:pPr>
    </w:p>
    <w:p w:rsidR="0032660E" w:rsidRDefault="0032660E" w:rsidP="0032660E">
      <w:pPr>
        <w:rPr>
          <w:b/>
        </w:rPr>
      </w:pPr>
      <w:r>
        <w:rPr>
          <w:b/>
        </w:rPr>
        <w:t xml:space="preserve">World Bank </w:t>
      </w:r>
    </w:p>
    <w:p w:rsidR="004671BB" w:rsidRDefault="0032660E" w:rsidP="0032660E">
      <w:pPr>
        <w:ind w:left="720"/>
      </w:pPr>
      <w:r w:rsidRPr="0032660E">
        <w:rPr>
          <w:b/>
        </w:rPr>
        <w:t>Personal remittances, received (current US$)</w:t>
      </w:r>
      <w:r>
        <w:t xml:space="preserve"> - Personal transfers consist of all current transfers in cash or in kind made or received by resident households to or from nonresident households. Personal transfers thus include all current transfers between resident and nonresident individuals. Compensation of employees refers to the income of </w:t>
      </w:r>
      <w:r>
        <w:lastRenderedPageBreak/>
        <w:t>border, seasonal, and other short-term workers who are employed in an economy where they are not resident and of residents employed by nonresident entities. Data are the sum of two items defined in the sixth edition of the IMF's Balance of Payments Manual: personal transfers and compensation of employees. Data are in current U.S. dollars. World Bank staff estimates based on IMF balance of payments data.</w:t>
      </w:r>
    </w:p>
    <w:p w:rsidR="0032660E" w:rsidRDefault="0032660E" w:rsidP="0032660E">
      <w:pPr>
        <w:ind w:left="720"/>
      </w:pPr>
      <w:r w:rsidRPr="0032660E">
        <w:rPr>
          <w:b/>
        </w:rPr>
        <w:t>GDP (current US$)</w:t>
      </w:r>
      <w:r>
        <w:t xml:space="preserve"> - GDP at purchaser's prices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current U.S. dollars. Dollar figures for GDP are converted from domestic currencies using single year official exchange rates. For a few countries where the official exchange rate does not reflect the rate effectively applied to actual foreign exchange transactions, an alternative conversion factor is used. World Bank national accounts data, and OECD National Accounts data files.</w:t>
      </w:r>
    </w:p>
    <w:p w:rsidR="0032660E" w:rsidRDefault="0032660E" w:rsidP="0032660E">
      <w:pPr>
        <w:ind w:left="720"/>
      </w:pPr>
      <w:r w:rsidRPr="0032660E">
        <w:rPr>
          <w:b/>
        </w:rPr>
        <w:t>GDP, PPP (current international $)</w:t>
      </w:r>
      <w:r>
        <w:t xml:space="preserve"> - PPP GDP is gross domestic product converted to international dollars using purchasing power parity rates. An international dollar has the same purchasing power over GDP as the U.S. dollar has in the United States.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current international dollars. For most economies PPP figures are extrapolated from the 2011 International Comparison Program (ICP) benchmark estimates or imputed using a statistical model based on the 2011 ICP. For 47 high- and upper middle-income economies conversion factors are provided by Eurostat and the </w:t>
      </w:r>
      <w:proofErr w:type="spellStart"/>
      <w:r>
        <w:t>Organisation</w:t>
      </w:r>
      <w:proofErr w:type="spellEnd"/>
      <w:r>
        <w:t xml:space="preserve"> for Economic Co-operation and Development (OECD). </w:t>
      </w:r>
      <w:proofErr w:type="gramStart"/>
      <w:r>
        <w:t>World Bank, International Comparison Program database.</w:t>
      </w:r>
      <w:proofErr w:type="gramEnd"/>
    </w:p>
    <w:p w:rsidR="0032660E" w:rsidRDefault="0032660E" w:rsidP="0032660E">
      <w:pPr>
        <w:ind w:left="720"/>
      </w:pPr>
      <w:r w:rsidRPr="0032660E">
        <w:rPr>
          <w:b/>
        </w:rPr>
        <w:t>Population, total</w:t>
      </w:r>
      <w:r>
        <w:t xml:space="preserve"> - Total population is based on the de facto definition of population, which counts all residents regardless of legal status or citizenship--except for refugees not permanently settled in the country of asylum, who are generally considered part of the population of their country of origin. The values shown are midyear estimates. (1) United Nations Population Division. World Population Prospects, (2) United Nations Statistical Division. Population and Vital Statistics Report (various years), (3) Census reports and other statistical publications from national statistical offices, (4) Eurostat: Demographic Statistics, (5) Secretariat of the Pacific Community: Statistics and Demography </w:t>
      </w:r>
      <w:proofErr w:type="spellStart"/>
      <w:r>
        <w:t>Programme</w:t>
      </w:r>
      <w:proofErr w:type="spellEnd"/>
      <w:r>
        <w:t>, and (6) U.S. Census Bureau: International Database.</w:t>
      </w:r>
    </w:p>
    <w:p w:rsidR="0032660E" w:rsidRPr="0032660E" w:rsidRDefault="0032660E" w:rsidP="0032660E">
      <w:pPr>
        <w:rPr>
          <w:b/>
        </w:rPr>
      </w:pPr>
      <w:r w:rsidRPr="0032660E">
        <w:rPr>
          <w:b/>
        </w:rPr>
        <w:t>UNCTAD</w:t>
      </w:r>
      <w:r>
        <w:rPr>
          <w:b/>
        </w:rPr>
        <w:t xml:space="preserve"> Variables</w:t>
      </w:r>
    </w:p>
    <w:p w:rsidR="0032660E" w:rsidRDefault="0032660E" w:rsidP="0032660E">
      <w:pPr>
        <w:ind w:left="720"/>
      </w:pPr>
      <w:r w:rsidRPr="0032660E">
        <w:rPr>
          <w:b/>
        </w:rPr>
        <w:t>Personal Remittances, annual, 1980-2013</w:t>
      </w:r>
      <w:r>
        <w:t xml:space="preserve"> - </w:t>
      </w:r>
      <w:r w:rsidRPr="0032660E">
        <w:t xml:space="preserve">This table presents a series on remittances expressed in millions of dollars. </w:t>
      </w:r>
      <w:r>
        <w:t xml:space="preserve">UNCTAD secretariat calculations, based on: - World Bank, Migration and Remittances. The World Bank defines the series as follows: From 1980 to 2004, data are the sum of three items defined in the fifth edition of the Balance of Payments Manual of IMF: workers' remittances, compensation of employees and migrants' transfers. From 2005 data are the sum of two items defined in the sixth edition </w:t>
      </w:r>
      <w:r>
        <w:lastRenderedPageBreak/>
        <w:t>of the Balance of Payments and International Investment Position Manual of IMF: personal transfers and compensation of employees.</w:t>
      </w:r>
    </w:p>
    <w:p w:rsidR="0032660E" w:rsidRDefault="0032660E" w:rsidP="0032660E">
      <w:pPr>
        <w:ind w:left="720"/>
      </w:pPr>
      <w:r w:rsidRPr="0032660E">
        <w:rPr>
          <w:b/>
        </w:rPr>
        <w:t>Least Developed Countries</w:t>
      </w:r>
      <w:r>
        <w:t xml:space="preserve"> - 48 countries are currently designated by the United Nations as "Least Developed Countries" (LDCs). The list of LDCs is reviewed every three years by the United Nations Economic and Social Council, in the light of recommendations by the Committee for Development Policy (CDP).</w:t>
      </w:r>
    </w:p>
    <w:p w:rsidR="0032660E" w:rsidRDefault="0032660E" w:rsidP="0032660E">
      <w:pPr>
        <w:ind w:left="720"/>
      </w:pPr>
      <w:r>
        <w:t>The following three criteria are used by the CDP to determine LDC status:</w:t>
      </w:r>
    </w:p>
    <w:p w:rsidR="0032660E" w:rsidRDefault="0032660E" w:rsidP="0032660E">
      <w:pPr>
        <w:pStyle w:val="ListParagraph"/>
        <w:numPr>
          <w:ilvl w:val="0"/>
          <w:numId w:val="1"/>
        </w:numPr>
        <w:ind w:left="1440"/>
      </w:pPr>
      <w:r>
        <w:t>Per capita income (gross national income per capita)</w:t>
      </w:r>
    </w:p>
    <w:p w:rsidR="0032660E" w:rsidRDefault="0032660E" w:rsidP="0032660E">
      <w:pPr>
        <w:pStyle w:val="ListParagraph"/>
        <w:numPr>
          <w:ilvl w:val="0"/>
          <w:numId w:val="1"/>
        </w:numPr>
        <w:ind w:left="1440"/>
      </w:pPr>
      <w:r>
        <w:t>Human assets (indicators of nutrition, health, school enrolment and literacy)</w:t>
      </w:r>
    </w:p>
    <w:p w:rsidR="0032660E" w:rsidRDefault="0032660E" w:rsidP="0032660E">
      <w:pPr>
        <w:pStyle w:val="ListParagraph"/>
        <w:numPr>
          <w:ilvl w:val="0"/>
          <w:numId w:val="1"/>
        </w:numPr>
        <w:ind w:left="1440"/>
      </w:pPr>
      <w:r>
        <w:t>Economic vulnerability (indicators of natural and trade-related shocks, physical and economic exposure to shocks, and smallness and remoteness).</w:t>
      </w:r>
    </w:p>
    <w:p w:rsidR="0032660E" w:rsidRDefault="0032660E" w:rsidP="0032660E">
      <w:pPr>
        <w:ind w:left="720"/>
      </w:pPr>
      <w:r>
        <w:t>By periodically identifying LDCs and highlighting their structural problems, the United Nations gives a strong signal to the international community to the need of special concessions in support of LDCs.</w:t>
      </w:r>
    </w:p>
    <w:p w:rsidR="0032660E" w:rsidRDefault="0032660E" w:rsidP="0032660E">
      <w:pPr>
        <w:pStyle w:val="ListParagraph"/>
        <w:numPr>
          <w:ilvl w:val="0"/>
          <w:numId w:val="2"/>
        </w:numPr>
      </w:pPr>
      <w:r>
        <w:t>Concessions associated with LDC status include benefits in the areas of:</w:t>
      </w:r>
    </w:p>
    <w:p w:rsidR="0032660E" w:rsidRDefault="0032660E" w:rsidP="0032660E">
      <w:pPr>
        <w:pStyle w:val="ListParagraph"/>
        <w:numPr>
          <w:ilvl w:val="0"/>
          <w:numId w:val="2"/>
        </w:numPr>
      </w:pPr>
      <w:r>
        <w:t>Development financing, notably grants and loans from donors and financial institutions.</w:t>
      </w:r>
    </w:p>
    <w:p w:rsidR="0032660E" w:rsidRDefault="0032660E" w:rsidP="0032660E">
      <w:pPr>
        <w:pStyle w:val="ListParagraph"/>
        <w:numPr>
          <w:ilvl w:val="0"/>
          <w:numId w:val="2"/>
        </w:numPr>
      </w:pPr>
      <w:r>
        <w:t>Multilateral trading system, such as preferential market access and special treatments.</w:t>
      </w:r>
    </w:p>
    <w:p w:rsidR="0032660E" w:rsidRDefault="0032660E" w:rsidP="0032660E">
      <w:pPr>
        <w:pStyle w:val="ListParagraph"/>
        <w:numPr>
          <w:ilvl w:val="0"/>
          <w:numId w:val="2"/>
        </w:numPr>
      </w:pPr>
      <w:r>
        <w:t>Technical assistance, notably, toward trade mainstreaming (Enhanced Integrated Framework)</w:t>
      </w:r>
    </w:p>
    <w:p w:rsidR="0032660E" w:rsidRDefault="0032660E" w:rsidP="0032660E">
      <w:pPr>
        <w:ind w:left="720"/>
      </w:pPr>
      <w:r>
        <w:t>Four countries have so far graduated from LDC status: Botswana in 1994, Cape Verde in 2007, Maldives in 2011, and Samoa in January 2014.</w:t>
      </w:r>
    </w:p>
    <w:p w:rsidR="0032660E" w:rsidRDefault="0032660E" w:rsidP="0032660E">
      <w:pPr>
        <w:ind w:left="720"/>
      </w:pPr>
      <w:r>
        <w:t>UNCTAD extends to all graduating countries a range of services aimed at supporting their progress toward graduation from LDC status. These include preparing vulnerability profiles of countries with the challenges of graduation, supporting them in their preparation for a smooth transition to post-LDC life.</w:t>
      </w:r>
    </w:p>
    <w:p w:rsidR="0032660E" w:rsidRDefault="0032660E" w:rsidP="0032660E">
      <w:pPr>
        <w:ind w:left="720"/>
      </w:pPr>
      <w:r>
        <w:t>UNCTAD also assists ex-LDC in their quest for continued socio-economic progress, notably, toward enhanced economic specialization</w:t>
      </w:r>
    </w:p>
    <w:sectPr w:rsidR="00326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45D23"/>
    <w:multiLevelType w:val="hybridMultilevel"/>
    <w:tmpl w:val="A190A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70A30B1"/>
    <w:multiLevelType w:val="hybridMultilevel"/>
    <w:tmpl w:val="6D2E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60E"/>
    <w:rsid w:val="0032660E"/>
    <w:rsid w:val="004671BB"/>
    <w:rsid w:val="004B2CAE"/>
    <w:rsid w:val="00824DEE"/>
    <w:rsid w:val="00FC3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6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375435">
      <w:bodyDiv w:val="1"/>
      <w:marLeft w:val="0"/>
      <w:marRight w:val="0"/>
      <w:marTop w:val="0"/>
      <w:marBottom w:val="0"/>
      <w:divBdr>
        <w:top w:val="none" w:sz="0" w:space="0" w:color="auto"/>
        <w:left w:val="none" w:sz="0" w:space="0" w:color="auto"/>
        <w:bottom w:val="none" w:sz="0" w:space="0" w:color="auto"/>
        <w:right w:val="none" w:sz="0" w:space="0" w:color="auto"/>
      </w:divBdr>
      <w:divsChild>
        <w:div w:id="822967638">
          <w:marLeft w:val="0"/>
          <w:marRight w:val="0"/>
          <w:marTop w:val="0"/>
          <w:marBottom w:val="0"/>
          <w:divBdr>
            <w:top w:val="none" w:sz="0" w:space="0" w:color="auto"/>
            <w:left w:val="none" w:sz="0" w:space="0" w:color="auto"/>
            <w:bottom w:val="none" w:sz="0" w:space="0" w:color="auto"/>
            <w:right w:val="none" w:sz="0" w:space="0" w:color="auto"/>
          </w:divBdr>
        </w:div>
        <w:div w:id="195042724">
          <w:marLeft w:val="0"/>
          <w:marRight w:val="0"/>
          <w:marTop w:val="0"/>
          <w:marBottom w:val="0"/>
          <w:divBdr>
            <w:top w:val="none" w:sz="0" w:space="0" w:color="auto"/>
            <w:left w:val="none" w:sz="0" w:space="0" w:color="auto"/>
            <w:bottom w:val="none" w:sz="0" w:space="0" w:color="auto"/>
            <w:right w:val="none" w:sz="0" w:space="0" w:color="auto"/>
          </w:divBdr>
        </w:div>
      </w:divsChild>
    </w:div>
    <w:div w:id="1114598737">
      <w:bodyDiv w:val="1"/>
      <w:marLeft w:val="0"/>
      <w:marRight w:val="0"/>
      <w:marTop w:val="0"/>
      <w:marBottom w:val="0"/>
      <w:divBdr>
        <w:top w:val="none" w:sz="0" w:space="0" w:color="auto"/>
        <w:left w:val="none" w:sz="0" w:space="0" w:color="auto"/>
        <w:bottom w:val="none" w:sz="0" w:space="0" w:color="auto"/>
        <w:right w:val="none" w:sz="0" w:space="0" w:color="auto"/>
      </w:divBdr>
      <w:divsChild>
        <w:div w:id="1303119369">
          <w:marLeft w:val="0"/>
          <w:marRight w:val="0"/>
          <w:marTop w:val="0"/>
          <w:marBottom w:val="0"/>
          <w:divBdr>
            <w:top w:val="none" w:sz="0" w:space="0" w:color="auto"/>
            <w:left w:val="none" w:sz="0" w:space="0" w:color="auto"/>
            <w:bottom w:val="none" w:sz="0" w:space="0" w:color="auto"/>
            <w:right w:val="none" w:sz="0" w:space="0" w:color="auto"/>
          </w:divBdr>
        </w:div>
        <w:div w:id="179662759">
          <w:marLeft w:val="0"/>
          <w:marRight w:val="0"/>
          <w:marTop w:val="0"/>
          <w:marBottom w:val="0"/>
          <w:divBdr>
            <w:top w:val="none" w:sz="0" w:space="0" w:color="auto"/>
            <w:left w:val="none" w:sz="0" w:space="0" w:color="auto"/>
            <w:bottom w:val="none" w:sz="0" w:space="0" w:color="auto"/>
            <w:right w:val="none" w:sz="0" w:space="0" w:color="auto"/>
          </w:divBdr>
        </w:div>
        <w:div w:id="152769259">
          <w:marLeft w:val="0"/>
          <w:marRight w:val="0"/>
          <w:marTop w:val="0"/>
          <w:marBottom w:val="0"/>
          <w:divBdr>
            <w:top w:val="none" w:sz="0" w:space="0" w:color="auto"/>
            <w:left w:val="none" w:sz="0" w:space="0" w:color="auto"/>
            <w:bottom w:val="none" w:sz="0" w:space="0" w:color="auto"/>
            <w:right w:val="none" w:sz="0" w:space="0" w:color="auto"/>
          </w:divBdr>
        </w:div>
        <w:div w:id="1396776520">
          <w:marLeft w:val="0"/>
          <w:marRight w:val="0"/>
          <w:marTop w:val="0"/>
          <w:marBottom w:val="0"/>
          <w:divBdr>
            <w:top w:val="none" w:sz="0" w:space="0" w:color="auto"/>
            <w:left w:val="none" w:sz="0" w:space="0" w:color="auto"/>
            <w:bottom w:val="none" w:sz="0" w:space="0" w:color="auto"/>
            <w:right w:val="none" w:sz="0" w:space="0" w:color="auto"/>
          </w:divBdr>
        </w:div>
      </w:divsChild>
    </w:div>
    <w:div w:id="1423523432">
      <w:bodyDiv w:val="1"/>
      <w:marLeft w:val="0"/>
      <w:marRight w:val="0"/>
      <w:marTop w:val="0"/>
      <w:marBottom w:val="0"/>
      <w:divBdr>
        <w:top w:val="none" w:sz="0" w:space="0" w:color="auto"/>
        <w:left w:val="none" w:sz="0" w:space="0" w:color="auto"/>
        <w:bottom w:val="none" w:sz="0" w:space="0" w:color="auto"/>
        <w:right w:val="none" w:sz="0" w:space="0" w:color="auto"/>
      </w:divBdr>
      <w:divsChild>
        <w:div w:id="604921745">
          <w:marLeft w:val="0"/>
          <w:marRight w:val="0"/>
          <w:marTop w:val="0"/>
          <w:marBottom w:val="0"/>
          <w:divBdr>
            <w:top w:val="none" w:sz="0" w:space="0" w:color="auto"/>
            <w:left w:val="none" w:sz="0" w:space="0" w:color="auto"/>
            <w:bottom w:val="none" w:sz="0" w:space="0" w:color="auto"/>
            <w:right w:val="none" w:sz="0" w:space="0" w:color="auto"/>
          </w:divBdr>
        </w:div>
        <w:div w:id="1748262584">
          <w:marLeft w:val="0"/>
          <w:marRight w:val="0"/>
          <w:marTop w:val="0"/>
          <w:marBottom w:val="0"/>
          <w:divBdr>
            <w:top w:val="none" w:sz="0" w:space="0" w:color="auto"/>
            <w:left w:val="none" w:sz="0" w:space="0" w:color="auto"/>
            <w:bottom w:val="none" w:sz="0" w:space="0" w:color="auto"/>
            <w:right w:val="none" w:sz="0" w:space="0" w:color="auto"/>
          </w:divBdr>
        </w:div>
      </w:divsChild>
    </w:div>
    <w:div w:id="1529100120">
      <w:bodyDiv w:val="1"/>
      <w:marLeft w:val="0"/>
      <w:marRight w:val="0"/>
      <w:marTop w:val="0"/>
      <w:marBottom w:val="0"/>
      <w:divBdr>
        <w:top w:val="none" w:sz="0" w:space="0" w:color="auto"/>
        <w:left w:val="none" w:sz="0" w:space="0" w:color="auto"/>
        <w:bottom w:val="none" w:sz="0" w:space="0" w:color="auto"/>
        <w:right w:val="none" w:sz="0" w:space="0" w:color="auto"/>
      </w:divBdr>
      <w:divsChild>
        <w:div w:id="1106776488">
          <w:marLeft w:val="0"/>
          <w:marRight w:val="0"/>
          <w:marTop w:val="0"/>
          <w:marBottom w:val="0"/>
          <w:divBdr>
            <w:top w:val="none" w:sz="0" w:space="0" w:color="auto"/>
            <w:left w:val="none" w:sz="0" w:space="0" w:color="auto"/>
            <w:bottom w:val="none" w:sz="0" w:space="0" w:color="auto"/>
            <w:right w:val="none" w:sz="0" w:space="0" w:color="auto"/>
          </w:divBdr>
        </w:div>
        <w:div w:id="1942491146">
          <w:marLeft w:val="0"/>
          <w:marRight w:val="0"/>
          <w:marTop w:val="0"/>
          <w:marBottom w:val="0"/>
          <w:divBdr>
            <w:top w:val="none" w:sz="0" w:space="0" w:color="auto"/>
            <w:left w:val="none" w:sz="0" w:space="0" w:color="auto"/>
            <w:bottom w:val="none" w:sz="0" w:space="0" w:color="auto"/>
            <w:right w:val="none" w:sz="0" w:space="0" w:color="auto"/>
          </w:divBdr>
        </w:div>
      </w:divsChild>
    </w:div>
    <w:div w:id="1645963398">
      <w:bodyDiv w:val="1"/>
      <w:marLeft w:val="0"/>
      <w:marRight w:val="0"/>
      <w:marTop w:val="0"/>
      <w:marBottom w:val="0"/>
      <w:divBdr>
        <w:top w:val="none" w:sz="0" w:space="0" w:color="auto"/>
        <w:left w:val="none" w:sz="0" w:space="0" w:color="auto"/>
        <w:bottom w:val="none" w:sz="0" w:space="0" w:color="auto"/>
        <w:right w:val="none" w:sz="0" w:space="0" w:color="auto"/>
      </w:divBdr>
    </w:div>
    <w:div w:id="1884055046">
      <w:bodyDiv w:val="1"/>
      <w:marLeft w:val="0"/>
      <w:marRight w:val="0"/>
      <w:marTop w:val="0"/>
      <w:marBottom w:val="0"/>
      <w:divBdr>
        <w:top w:val="none" w:sz="0" w:space="0" w:color="auto"/>
        <w:left w:val="none" w:sz="0" w:space="0" w:color="auto"/>
        <w:bottom w:val="none" w:sz="0" w:space="0" w:color="auto"/>
        <w:right w:val="none" w:sz="0" w:space="0" w:color="auto"/>
      </w:divBdr>
    </w:div>
    <w:div w:id="2030255859">
      <w:bodyDiv w:val="1"/>
      <w:marLeft w:val="0"/>
      <w:marRight w:val="0"/>
      <w:marTop w:val="0"/>
      <w:marBottom w:val="0"/>
      <w:divBdr>
        <w:top w:val="none" w:sz="0" w:space="0" w:color="auto"/>
        <w:left w:val="none" w:sz="0" w:space="0" w:color="auto"/>
        <w:bottom w:val="none" w:sz="0" w:space="0" w:color="auto"/>
        <w:right w:val="none" w:sz="0" w:space="0" w:color="auto"/>
      </w:divBdr>
      <w:divsChild>
        <w:div w:id="1553301110">
          <w:marLeft w:val="0"/>
          <w:marRight w:val="0"/>
          <w:marTop w:val="0"/>
          <w:marBottom w:val="0"/>
          <w:divBdr>
            <w:top w:val="none" w:sz="0" w:space="0" w:color="auto"/>
            <w:left w:val="none" w:sz="0" w:space="0" w:color="auto"/>
            <w:bottom w:val="none" w:sz="0" w:space="0" w:color="auto"/>
            <w:right w:val="none" w:sz="0" w:space="0" w:color="auto"/>
          </w:divBdr>
        </w:div>
        <w:div w:id="393507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USAID</Company>
  <LinksUpToDate>false</LinksUpToDate>
  <CharactersWithSpaces>8103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Chafetz (E3/PLC)</dc:creator>
  <cp:lastModifiedBy>Aaron Chafetz (E3/PLC)</cp:lastModifiedBy>
  <cp:revision>3</cp:revision>
  <dcterms:created xsi:type="dcterms:W3CDTF">2015-05-22T15:02:00Z</dcterms:created>
  <dcterms:modified xsi:type="dcterms:W3CDTF">2015-05-27T21:41:00Z</dcterms:modified>
</cp:coreProperties>
</file>