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B54" w:rsidRPr="00B81ECC" w:rsidRDefault="00B81ECC">
      <w:pPr>
        <w:rPr>
          <w:b/>
        </w:rPr>
      </w:pPr>
      <w:r>
        <w:rPr>
          <w:b/>
        </w:rPr>
        <w:t>G</w:t>
      </w:r>
      <w:r w:rsidR="00447B54" w:rsidRPr="00B81ECC">
        <w:rPr>
          <w:b/>
        </w:rPr>
        <w:t>rants and other revenue (% of revenue)</w:t>
      </w:r>
    </w:p>
    <w:p w:rsidR="00447B54" w:rsidRDefault="00447B54" w:rsidP="00447B54">
      <w:pPr>
        <w:ind w:left="720"/>
      </w:pPr>
      <w:r>
        <w:t>Grants and other revenue include grants from other foreign governments, international organizations, and other government u</w:t>
      </w:r>
      <w:bookmarkStart w:id="0" w:name="_GoBack"/>
      <w:bookmarkEnd w:id="0"/>
      <w:r>
        <w:t xml:space="preserve">nits; interest; dividends; rent; requited, </w:t>
      </w:r>
      <w:proofErr w:type="spellStart"/>
      <w:r>
        <w:t>nonrepayable</w:t>
      </w:r>
      <w:proofErr w:type="spellEnd"/>
      <w:r>
        <w:t xml:space="preserve"> receipts for public purposes (such as fines, administrative fees, and entrepreneurial income from government owner­ship of property); and voluntary, unrequited, </w:t>
      </w:r>
      <w:proofErr w:type="spellStart"/>
      <w:r>
        <w:t>nonrepayable</w:t>
      </w:r>
      <w:proofErr w:type="spellEnd"/>
      <w:r>
        <w:t xml:space="preserve"> receipts other than grants.</w:t>
      </w:r>
    </w:p>
    <w:p w:rsidR="00447B54" w:rsidRDefault="00447B54" w:rsidP="00447B54">
      <w:pPr>
        <w:ind w:left="720"/>
        <w:rPr>
          <w:i/>
        </w:rPr>
      </w:pPr>
      <w:r w:rsidRPr="00447B54">
        <w:rPr>
          <w:i/>
        </w:rPr>
        <w:t>International Monetary Fund, Government Finance Statistics Yearbook and data files.</w:t>
      </w:r>
    </w:p>
    <w:p w:rsidR="00447B54" w:rsidRPr="00B81ECC" w:rsidRDefault="00447B54" w:rsidP="00447B54">
      <w:pPr>
        <w:rPr>
          <w:b/>
        </w:rPr>
      </w:pPr>
      <w:r w:rsidRPr="00B81ECC">
        <w:rPr>
          <w:b/>
        </w:rPr>
        <w:t>Social contributions (% of revenue)</w:t>
      </w:r>
    </w:p>
    <w:p w:rsidR="00447B54" w:rsidRDefault="00447B54" w:rsidP="00447B54">
      <w:pPr>
        <w:ind w:left="720"/>
      </w:pPr>
      <w:r>
        <w:t>Social contributions include social security contributions by employees, employers, and self-employed individuals, and other contributions whose source cannot be determined. They also include actual or imputed contributions to social insurance schemes operated by governments.</w:t>
      </w:r>
    </w:p>
    <w:p w:rsidR="00447B54" w:rsidRPr="00447B54" w:rsidRDefault="00447B54" w:rsidP="00447B54">
      <w:pPr>
        <w:ind w:left="720"/>
        <w:rPr>
          <w:i/>
        </w:rPr>
      </w:pPr>
      <w:r w:rsidRPr="00447B54">
        <w:rPr>
          <w:i/>
        </w:rPr>
        <w:t>International Monetary Fund, Government Finance Statistics Yearbook and data files.</w:t>
      </w:r>
    </w:p>
    <w:p w:rsidR="00447B54" w:rsidRPr="00B81ECC" w:rsidRDefault="00447B54" w:rsidP="00447B54">
      <w:pPr>
        <w:rPr>
          <w:b/>
        </w:rPr>
      </w:pPr>
      <w:r w:rsidRPr="00B81ECC">
        <w:rPr>
          <w:b/>
        </w:rPr>
        <w:t>Taxes on goods and services (% of revenue)</w:t>
      </w:r>
    </w:p>
    <w:p w:rsidR="00447B54" w:rsidRDefault="00447B54" w:rsidP="00447B54">
      <w:pPr>
        <w:ind w:left="720"/>
      </w:pPr>
      <w:r>
        <w:t>Taxes on goods and services include general sales and turnover or value added taxes, selective excises on goods, selective taxes on services, taxes on the use of goods or property, taxes on extraction and production of minerals, and profits of fiscal monopolies.</w:t>
      </w:r>
    </w:p>
    <w:p w:rsidR="00447B54" w:rsidRPr="00447B54" w:rsidRDefault="00447B54" w:rsidP="00447B54">
      <w:pPr>
        <w:ind w:left="720"/>
        <w:rPr>
          <w:i/>
        </w:rPr>
      </w:pPr>
      <w:r w:rsidRPr="00447B54">
        <w:rPr>
          <w:i/>
        </w:rPr>
        <w:t>International Monetary Fund, Government Finance Statistics Yearbook and data files.</w:t>
      </w:r>
    </w:p>
    <w:p w:rsidR="00447B54" w:rsidRPr="00B81ECC" w:rsidRDefault="00447B54" w:rsidP="00447B54">
      <w:pPr>
        <w:rPr>
          <w:b/>
        </w:rPr>
      </w:pPr>
      <w:r w:rsidRPr="00B81ECC">
        <w:rPr>
          <w:b/>
        </w:rPr>
        <w:t>Taxes on goods and services (% of revenue)</w:t>
      </w:r>
    </w:p>
    <w:p w:rsidR="00447B54" w:rsidRDefault="00447B54" w:rsidP="00447B54">
      <w:pPr>
        <w:ind w:left="720"/>
      </w:pPr>
      <w:r w:rsidRPr="00447B54">
        <w:t>Taxes on goods and services include general sales and turnover or value added taxes, selective excises on goods, selective taxes on services, taxes on the use of goods or property, taxes on extraction and production of minerals, and profits of fiscal monopolies</w:t>
      </w:r>
      <w:r>
        <w:t>.</w:t>
      </w:r>
    </w:p>
    <w:p w:rsidR="00447B54" w:rsidRPr="00447B54" w:rsidRDefault="00447B54" w:rsidP="00447B54">
      <w:pPr>
        <w:ind w:left="720"/>
        <w:rPr>
          <w:i/>
        </w:rPr>
      </w:pPr>
      <w:r w:rsidRPr="00447B54">
        <w:rPr>
          <w:i/>
        </w:rPr>
        <w:t>International Monetary Fund, Government Finance Statistics Yearbook and data files.</w:t>
      </w:r>
    </w:p>
    <w:p w:rsidR="00447B54" w:rsidRPr="00B81ECC" w:rsidRDefault="00447B54" w:rsidP="00447B54">
      <w:pPr>
        <w:rPr>
          <w:b/>
        </w:rPr>
      </w:pPr>
      <w:r w:rsidRPr="00B81ECC">
        <w:rPr>
          <w:b/>
        </w:rPr>
        <w:t>Other taxes (% of revenue)</w:t>
      </w:r>
    </w:p>
    <w:p w:rsidR="00447B54" w:rsidRDefault="00447B54" w:rsidP="00447B54">
      <w:pPr>
        <w:ind w:left="720"/>
      </w:pPr>
      <w:r>
        <w:t>Other taxes include employer payroll or labor taxes, taxes on property, and taxes not allocable to other categories, such as penalties for late payment or nonpayment of taxes.</w:t>
      </w:r>
    </w:p>
    <w:p w:rsidR="00447B54" w:rsidRPr="00B81ECC" w:rsidRDefault="00447B54" w:rsidP="00447B54">
      <w:pPr>
        <w:ind w:left="720"/>
        <w:rPr>
          <w:i/>
        </w:rPr>
      </w:pPr>
      <w:r w:rsidRPr="00B81ECC">
        <w:rPr>
          <w:i/>
        </w:rPr>
        <w:t>International Monetary Fund, Government Finance Statistics Yearbook and data files.</w:t>
      </w:r>
    </w:p>
    <w:p w:rsidR="00447B54" w:rsidRPr="00B81ECC" w:rsidRDefault="00B81ECC" w:rsidP="00447B54">
      <w:pPr>
        <w:rPr>
          <w:b/>
        </w:rPr>
      </w:pPr>
      <w:r w:rsidRPr="00B81ECC">
        <w:rPr>
          <w:b/>
        </w:rPr>
        <w:t>Taxes on income, profits and capital gains (% of revenue)</w:t>
      </w:r>
    </w:p>
    <w:p w:rsidR="00B81ECC" w:rsidRDefault="00B81ECC" w:rsidP="00B81ECC">
      <w:pPr>
        <w:ind w:left="720"/>
      </w:pPr>
      <w:r w:rsidRPr="00B81ECC">
        <w:t xml:space="preserve">Taxes on income, profits, and capital gains are levied on the actual or presumptive net income of individuals, on the profits of corporations and enterprises, and on capital gains, whether realized or not, on land, securities, and other assets. </w:t>
      </w:r>
      <w:proofErr w:type="spellStart"/>
      <w:r w:rsidRPr="00B81ECC">
        <w:t>Intragovernmental</w:t>
      </w:r>
      <w:proofErr w:type="spellEnd"/>
      <w:r w:rsidRPr="00B81ECC">
        <w:t xml:space="preserve"> payments are eliminated in consolidation.</w:t>
      </w:r>
    </w:p>
    <w:p w:rsidR="00B81ECC" w:rsidRPr="00447B54" w:rsidRDefault="00B81ECC" w:rsidP="00B81ECC">
      <w:pPr>
        <w:ind w:left="720"/>
      </w:pPr>
      <w:r w:rsidRPr="00B81ECC">
        <w:rPr>
          <w:i/>
        </w:rPr>
        <w:t>International Monetary Fund, Government Finance Statistics Yearbook and data files.</w:t>
      </w:r>
    </w:p>
    <w:sectPr w:rsidR="00B81ECC" w:rsidRPr="00447B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ECC" w:rsidRDefault="00B81ECC" w:rsidP="00B81ECC">
      <w:pPr>
        <w:spacing w:after="0"/>
      </w:pPr>
      <w:r>
        <w:separator/>
      </w:r>
    </w:p>
  </w:endnote>
  <w:endnote w:type="continuationSeparator" w:id="0">
    <w:p w:rsidR="00B81ECC" w:rsidRDefault="00B81ECC" w:rsidP="00B81E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ECC" w:rsidRDefault="00B81ECC" w:rsidP="00B81ECC">
      <w:pPr>
        <w:spacing w:after="0"/>
      </w:pPr>
      <w:r>
        <w:separator/>
      </w:r>
    </w:p>
  </w:footnote>
  <w:footnote w:type="continuationSeparator" w:id="0">
    <w:p w:rsidR="00B81ECC" w:rsidRDefault="00B81ECC" w:rsidP="00B81EC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ECC" w:rsidRDefault="00B81ECC" w:rsidP="00B81ECC">
    <w:pPr>
      <w:tabs>
        <w:tab w:val="left" w:pos="8580"/>
      </w:tabs>
    </w:pPr>
    <w:r>
      <w:t>World Bank WDI Revenue Sources Defi</w:t>
    </w:r>
    <w:r w:rsidR="002F5E9F">
      <w:t>ni</w:t>
    </w:r>
    <w:r>
      <w:t>tions</w:t>
    </w:r>
    <w:r>
      <w:tab/>
      <w:t>6/8/15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B54"/>
    <w:rsid w:val="002F5E9F"/>
    <w:rsid w:val="00447B54"/>
    <w:rsid w:val="004671BB"/>
    <w:rsid w:val="00650980"/>
    <w:rsid w:val="00B8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ECC"/>
    <w:pPr>
      <w:tabs>
        <w:tab w:val="center" w:pos="4680"/>
        <w:tab w:val="right" w:pos="9360"/>
      </w:tabs>
      <w:spacing w:after="0"/>
    </w:pPr>
  </w:style>
  <w:style w:type="character" w:customStyle="1" w:styleId="HeaderChar">
    <w:name w:val="Header Char"/>
    <w:basedOn w:val="DefaultParagraphFont"/>
    <w:link w:val="Header"/>
    <w:uiPriority w:val="99"/>
    <w:rsid w:val="00B81ECC"/>
  </w:style>
  <w:style w:type="paragraph" w:styleId="Footer">
    <w:name w:val="footer"/>
    <w:basedOn w:val="Normal"/>
    <w:link w:val="FooterChar"/>
    <w:uiPriority w:val="99"/>
    <w:unhideWhenUsed/>
    <w:rsid w:val="00B81ECC"/>
    <w:pPr>
      <w:tabs>
        <w:tab w:val="center" w:pos="4680"/>
        <w:tab w:val="right" w:pos="9360"/>
      </w:tabs>
      <w:spacing w:after="0"/>
    </w:pPr>
  </w:style>
  <w:style w:type="character" w:customStyle="1" w:styleId="FooterChar">
    <w:name w:val="Footer Char"/>
    <w:basedOn w:val="DefaultParagraphFont"/>
    <w:link w:val="Footer"/>
    <w:uiPriority w:val="99"/>
    <w:rsid w:val="00B81E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ECC"/>
    <w:pPr>
      <w:tabs>
        <w:tab w:val="center" w:pos="4680"/>
        <w:tab w:val="right" w:pos="9360"/>
      </w:tabs>
      <w:spacing w:after="0"/>
    </w:pPr>
  </w:style>
  <w:style w:type="character" w:customStyle="1" w:styleId="HeaderChar">
    <w:name w:val="Header Char"/>
    <w:basedOn w:val="DefaultParagraphFont"/>
    <w:link w:val="Header"/>
    <w:uiPriority w:val="99"/>
    <w:rsid w:val="00B81ECC"/>
  </w:style>
  <w:style w:type="paragraph" w:styleId="Footer">
    <w:name w:val="footer"/>
    <w:basedOn w:val="Normal"/>
    <w:link w:val="FooterChar"/>
    <w:uiPriority w:val="99"/>
    <w:unhideWhenUsed/>
    <w:rsid w:val="00B81ECC"/>
    <w:pPr>
      <w:tabs>
        <w:tab w:val="center" w:pos="4680"/>
        <w:tab w:val="right" w:pos="9360"/>
      </w:tabs>
      <w:spacing w:after="0"/>
    </w:pPr>
  </w:style>
  <w:style w:type="character" w:customStyle="1" w:styleId="FooterChar">
    <w:name w:val="Footer Char"/>
    <w:basedOn w:val="DefaultParagraphFont"/>
    <w:link w:val="Footer"/>
    <w:uiPriority w:val="99"/>
    <w:rsid w:val="00B81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598091">
      <w:bodyDiv w:val="1"/>
      <w:marLeft w:val="0"/>
      <w:marRight w:val="0"/>
      <w:marTop w:val="0"/>
      <w:marBottom w:val="0"/>
      <w:divBdr>
        <w:top w:val="none" w:sz="0" w:space="0" w:color="auto"/>
        <w:left w:val="none" w:sz="0" w:space="0" w:color="auto"/>
        <w:bottom w:val="none" w:sz="0" w:space="0" w:color="auto"/>
        <w:right w:val="none" w:sz="0" w:space="0" w:color="auto"/>
      </w:divBdr>
    </w:div>
    <w:div w:id="288629504">
      <w:bodyDiv w:val="1"/>
      <w:marLeft w:val="0"/>
      <w:marRight w:val="0"/>
      <w:marTop w:val="0"/>
      <w:marBottom w:val="0"/>
      <w:divBdr>
        <w:top w:val="none" w:sz="0" w:space="0" w:color="auto"/>
        <w:left w:val="none" w:sz="0" w:space="0" w:color="auto"/>
        <w:bottom w:val="none" w:sz="0" w:space="0" w:color="auto"/>
        <w:right w:val="none" w:sz="0" w:space="0" w:color="auto"/>
      </w:divBdr>
    </w:div>
    <w:div w:id="314458984">
      <w:bodyDiv w:val="1"/>
      <w:marLeft w:val="0"/>
      <w:marRight w:val="0"/>
      <w:marTop w:val="0"/>
      <w:marBottom w:val="0"/>
      <w:divBdr>
        <w:top w:val="none" w:sz="0" w:space="0" w:color="auto"/>
        <w:left w:val="none" w:sz="0" w:space="0" w:color="auto"/>
        <w:bottom w:val="none" w:sz="0" w:space="0" w:color="auto"/>
        <w:right w:val="none" w:sz="0" w:space="0" w:color="auto"/>
      </w:divBdr>
    </w:div>
    <w:div w:id="317223739">
      <w:bodyDiv w:val="1"/>
      <w:marLeft w:val="0"/>
      <w:marRight w:val="0"/>
      <w:marTop w:val="0"/>
      <w:marBottom w:val="0"/>
      <w:divBdr>
        <w:top w:val="none" w:sz="0" w:space="0" w:color="auto"/>
        <w:left w:val="none" w:sz="0" w:space="0" w:color="auto"/>
        <w:bottom w:val="none" w:sz="0" w:space="0" w:color="auto"/>
        <w:right w:val="none" w:sz="0" w:space="0" w:color="auto"/>
      </w:divBdr>
    </w:div>
    <w:div w:id="514154418">
      <w:bodyDiv w:val="1"/>
      <w:marLeft w:val="0"/>
      <w:marRight w:val="0"/>
      <w:marTop w:val="0"/>
      <w:marBottom w:val="0"/>
      <w:divBdr>
        <w:top w:val="none" w:sz="0" w:space="0" w:color="auto"/>
        <w:left w:val="none" w:sz="0" w:space="0" w:color="auto"/>
        <w:bottom w:val="none" w:sz="0" w:space="0" w:color="auto"/>
        <w:right w:val="none" w:sz="0" w:space="0" w:color="auto"/>
      </w:divBdr>
      <w:divsChild>
        <w:div w:id="1513840480">
          <w:marLeft w:val="0"/>
          <w:marRight w:val="0"/>
          <w:marTop w:val="0"/>
          <w:marBottom w:val="0"/>
          <w:divBdr>
            <w:top w:val="none" w:sz="0" w:space="0" w:color="auto"/>
            <w:left w:val="none" w:sz="0" w:space="0" w:color="auto"/>
            <w:bottom w:val="none" w:sz="0" w:space="0" w:color="auto"/>
            <w:right w:val="none" w:sz="0" w:space="0" w:color="auto"/>
          </w:divBdr>
        </w:div>
        <w:div w:id="2108109368">
          <w:marLeft w:val="0"/>
          <w:marRight w:val="0"/>
          <w:marTop w:val="0"/>
          <w:marBottom w:val="0"/>
          <w:divBdr>
            <w:top w:val="none" w:sz="0" w:space="0" w:color="auto"/>
            <w:left w:val="none" w:sz="0" w:space="0" w:color="auto"/>
            <w:bottom w:val="none" w:sz="0" w:space="0" w:color="auto"/>
            <w:right w:val="none" w:sz="0" w:space="0" w:color="auto"/>
          </w:divBdr>
        </w:div>
      </w:divsChild>
    </w:div>
    <w:div w:id="1005789553">
      <w:bodyDiv w:val="1"/>
      <w:marLeft w:val="0"/>
      <w:marRight w:val="0"/>
      <w:marTop w:val="0"/>
      <w:marBottom w:val="0"/>
      <w:divBdr>
        <w:top w:val="none" w:sz="0" w:space="0" w:color="auto"/>
        <w:left w:val="none" w:sz="0" w:space="0" w:color="auto"/>
        <w:bottom w:val="none" w:sz="0" w:space="0" w:color="auto"/>
        <w:right w:val="none" w:sz="0" w:space="0" w:color="auto"/>
      </w:divBdr>
      <w:divsChild>
        <w:div w:id="915868714">
          <w:marLeft w:val="0"/>
          <w:marRight w:val="0"/>
          <w:marTop w:val="0"/>
          <w:marBottom w:val="0"/>
          <w:divBdr>
            <w:top w:val="none" w:sz="0" w:space="0" w:color="auto"/>
            <w:left w:val="none" w:sz="0" w:space="0" w:color="auto"/>
            <w:bottom w:val="none" w:sz="0" w:space="0" w:color="auto"/>
            <w:right w:val="none" w:sz="0" w:space="0" w:color="auto"/>
          </w:divBdr>
        </w:div>
        <w:div w:id="680203260">
          <w:marLeft w:val="0"/>
          <w:marRight w:val="0"/>
          <w:marTop w:val="0"/>
          <w:marBottom w:val="0"/>
          <w:divBdr>
            <w:top w:val="none" w:sz="0" w:space="0" w:color="auto"/>
            <w:left w:val="none" w:sz="0" w:space="0" w:color="auto"/>
            <w:bottom w:val="none" w:sz="0" w:space="0" w:color="auto"/>
            <w:right w:val="none" w:sz="0" w:space="0" w:color="auto"/>
          </w:divBdr>
        </w:div>
      </w:divsChild>
    </w:div>
    <w:div w:id="1185169698">
      <w:bodyDiv w:val="1"/>
      <w:marLeft w:val="0"/>
      <w:marRight w:val="0"/>
      <w:marTop w:val="0"/>
      <w:marBottom w:val="0"/>
      <w:divBdr>
        <w:top w:val="none" w:sz="0" w:space="0" w:color="auto"/>
        <w:left w:val="none" w:sz="0" w:space="0" w:color="auto"/>
        <w:bottom w:val="none" w:sz="0" w:space="0" w:color="auto"/>
        <w:right w:val="none" w:sz="0" w:space="0" w:color="auto"/>
      </w:divBdr>
    </w:div>
    <w:div w:id="1379938899">
      <w:bodyDiv w:val="1"/>
      <w:marLeft w:val="0"/>
      <w:marRight w:val="0"/>
      <w:marTop w:val="0"/>
      <w:marBottom w:val="0"/>
      <w:divBdr>
        <w:top w:val="none" w:sz="0" w:space="0" w:color="auto"/>
        <w:left w:val="none" w:sz="0" w:space="0" w:color="auto"/>
        <w:bottom w:val="none" w:sz="0" w:space="0" w:color="auto"/>
        <w:right w:val="none" w:sz="0" w:space="0" w:color="auto"/>
      </w:divBdr>
      <w:divsChild>
        <w:div w:id="1667585099">
          <w:marLeft w:val="0"/>
          <w:marRight w:val="0"/>
          <w:marTop w:val="0"/>
          <w:marBottom w:val="0"/>
          <w:divBdr>
            <w:top w:val="none" w:sz="0" w:space="0" w:color="auto"/>
            <w:left w:val="none" w:sz="0" w:space="0" w:color="auto"/>
            <w:bottom w:val="none" w:sz="0" w:space="0" w:color="auto"/>
            <w:right w:val="none" w:sz="0" w:space="0" w:color="auto"/>
          </w:divBdr>
        </w:div>
        <w:div w:id="1844280925">
          <w:marLeft w:val="0"/>
          <w:marRight w:val="0"/>
          <w:marTop w:val="0"/>
          <w:marBottom w:val="0"/>
          <w:divBdr>
            <w:top w:val="none" w:sz="0" w:space="0" w:color="auto"/>
            <w:left w:val="none" w:sz="0" w:space="0" w:color="auto"/>
            <w:bottom w:val="none" w:sz="0" w:space="0" w:color="auto"/>
            <w:right w:val="none" w:sz="0" w:space="0" w:color="auto"/>
          </w:divBdr>
        </w:div>
      </w:divsChild>
    </w:div>
    <w:div w:id="1665161893">
      <w:bodyDiv w:val="1"/>
      <w:marLeft w:val="0"/>
      <w:marRight w:val="0"/>
      <w:marTop w:val="0"/>
      <w:marBottom w:val="0"/>
      <w:divBdr>
        <w:top w:val="none" w:sz="0" w:space="0" w:color="auto"/>
        <w:left w:val="none" w:sz="0" w:space="0" w:color="auto"/>
        <w:bottom w:val="none" w:sz="0" w:space="0" w:color="auto"/>
        <w:right w:val="none" w:sz="0" w:space="0" w:color="auto"/>
      </w:divBdr>
    </w:div>
    <w:div w:id="1892955420">
      <w:bodyDiv w:val="1"/>
      <w:marLeft w:val="0"/>
      <w:marRight w:val="0"/>
      <w:marTop w:val="0"/>
      <w:marBottom w:val="0"/>
      <w:divBdr>
        <w:top w:val="none" w:sz="0" w:space="0" w:color="auto"/>
        <w:left w:val="none" w:sz="0" w:space="0" w:color="auto"/>
        <w:bottom w:val="none" w:sz="0" w:space="0" w:color="auto"/>
        <w:right w:val="none" w:sz="0" w:space="0" w:color="auto"/>
      </w:divBdr>
      <w:divsChild>
        <w:div w:id="99880686">
          <w:marLeft w:val="0"/>
          <w:marRight w:val="0"/>
          <w:marTop w:val="0"/>
          <w:marBottom w:val="0"/>
          <w:divBdr>
            <w:top w:val="none" w:sz="0" w:space="0" w:color="auto"/>
            <w:left w:val="none" w:sz="0" w:space="0" w:color="auto"/>
            <w:bottom w:val="none" w:sz="0" w:space="0" w:color="auto"/>
            <w:right w:val="none" w:sz="0" w:space="0" w:color="auto"/>
          </w:divBdr>
        </w:div>
        <w:div w:id="1479034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Chafetz (E3/PLC)</dc:creator>
  <cp:lastModifiedBy>Aaron Chafetz (E3/PLC)</cp:lastModifiedBy>
  <cp:revision>2</cp:revision>
  <dcterms:created xsi:type="dcterms:W3CDTF">2015-06-08T14:03:00Z</dcterms:created>
  <dcterms:modified xsi:type="dcterms:W3CDTF">2015-06-08T15:13:00Z</dcterms:modified>
</cp:coreProperties>
</file>