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AC2" w:rsidRPr="00B54AC2" w:rsidRDefault="00B54AC2" w:rsidP="00B54AC2">
      <w:pPr>
        <w:contextualSpacing/>
        <w:rPr>
          <w:b/>
          <w:u w:val="single"/>
        </w:rPr>
      </w:pPr>
      <w:r w:rsidRPr="00B54AC2">
        <w:rPr>
          <w:b/>
          <w:u w:val="single"/>
        </w:rPr>
        <w:t>VARIABLE DEFINITIONS</w:t>
      </w:r>
    </w:p>
    <w:p w:rsidR="00B54AC2" w:rsidRDefault="00B54AC2" w:rsidP="00B54AC2">
      <w:pPr>
        <w:contextualSpacing/>
        <w:rPr>
          <w:b/>
        </w:rPr>
      </w:pPr>
    </w:p>
    <w:p w:rsidR="00B54AC2" w:rsidRDefault="00B54AC2" w:rsidP="00B54AC2">
      <w:pPr>
        <w:contextualSpacing/>
        <w:rPr>
          <w:b/>
        </w:rPr>
      </w:pPr>
      <w:r w:rsidRPr="00FC3D44">
        <w:rPr>
          <w:b/>
        </w:rPr>
        <w:t>Official Development Assistance (ODA)</w:t>
      </w:r>
      <w:r>
        <w:rPr>
          <w:b/>
        </w:rPr>
        <w:t>, Net</w:t>
      </w:r>
      <w:r w:rsidR="000A55EF">
        <w:rPr>
          <w:b/>
        </w:rPr>
        <w:t xml:space="preserve"> </w:t>
      </w:r>
      <w:r w:rsidR="000A55EF">
        <w:rPr>
          <w:b/>
        </w:rPr>
        <w:t>Disbursement</w:t>
      </w:r>
    </w:p>
    <w:p w:rsidR="00B54AC2" w:rsidRDefault="00B54AC2" w:rsidP="000A55EF">
      <w:pPr>
        <w:tabs>
          <w:tab w:val="left" w:pos="6360"/>
        </w:tabs>
        <w:ind w:left="720"/>
        <w:contextualSpacing/>
        <w:rPr>
          <w:i/>
        </w:rPr>
      </w:pPr>
      <w:r w:rsidRPr="00B54AC2">
        <w:rPr>
          <w:i/>
        </w:rPr>
        <w:t>Source: OECD</w:t>
      </w:r>
      <w:r>
        <w:rPr>
          <w:i/>
        </w:rPr>
        <w:t xml:space="preserve"> QWIDS (</w:t>
      </w:r>
      <w:r w:rsidRPr="00B54AC2">
        <w:rPr>
          <w:i/>
        </w:rPr>
        <w:t>http://stats.oecd.org/qwids/</w:t>
      </w:r>
      <w:r w:rsidR="000A55EF">
        <w:rPr>
          <w:i/>
        </w:rPr>
        <w:t>), DAC2A</w:t>
      </w:r>
      <w:r w:rsidR="000A55EF">
        <w:rPr>
          <w:i/>
        </w:rPr>
        <w:tab/>
      </w:r>
    </w:p>
    <w:p w:rsidR="00B54AC2" w:rsidRDefault="00B54AC2" w:rsidP="00B54AC2">
      <w:pPr>
        <w:ind w:left="720"/>
        <w:contextualSpacing/>
      </w:pPr>
    </w:p>
    <w:p w:rsidR="00B54AC2" w:rsidRDefault="00B54AC2" w:rsidP="00B54AC2">
      <w:pPr>
        <w:ind w:left="720"/>
        <w:contextualSpacing/>
      </w:pPr>
      <w:r w:rsidRPr="00FC3D44">
        <w:t>Grants or loans to countries and territories on the DAC List of ODA Recipients (developing countries) and to multilateral agencies which are: (a) undertaken by the official sector; (b) with promotion of economic development and welfare as the main objective; (c) at concessional financial terms (if a loan, having a grant element of at least 25 per cent). In addition to financial flows, technical co-operation is included in aid. Grants, loans and credits for military purposes are excluded. Transfer payments to private individuals (e.g. pensions, reparations or insurance payouts) are in general not counted.</w:t>
      </w:r>
      <w:r>
        <w:t xml:space="preserve"> </w:t>
      </w:r>
    </w:p>
    <w:p w:rsidR="00B54AC2" w:rsidRDefault="00B54AC2" w:rsidP="00B54AC2">
      <w:pPr>
        <w:ind w:left="720"/>
        <w:contextualSpacing/>
      </w:pPr>
    </w:p>
    <w:p w:rsidR="00B54AC2" w:rsidRDefault="00B54AC2" w:rsidP="00B54AC2">
      <w:pPr>
        <w:contextualSpacing/>
        <w:rPr>
          <w:b/>
        </w:rPr>
      </w:pPr>
      <w:r w:rsidRPr="00FC3D44">
        <w:rPr>
          <w:b/>
        </w:rPr>
        <w:t>Other Official Flows (OOF)</w:t>
      </w:r>
      <w:r>
        <w:rPr>
          <w:b/>
        </w:rPr>
        <w:t>, Net</w:t>
      </w:r>
      <w:r w:rsidR="000A55EF">
        <w:rPr>
          <w:b/>
        </w:rPr>
        <w:t xml:space="preserve"> (Assumed) Disbursement</w:t>
      </w:r>
    </w:p>
    <w:p w:rsidR="00B54AC2" w:rsidRDefault="00B54AC2" w:rsidP="00B54AC2">
      <w:pPr>
        <w:ind w:left="720"/>
        <w:contextualSpacing/>
        <w:rPr>
          <w:i/>
        </w:rPr>
      </w:pPr>
      <w:r w:rsidRPr="00B54AC2">
        <w:rPr>
          <w:i/>
        </w:rPr>
        <w:t>Source: OECD</w:t>
      </w:r>
      <w:r>
        <w:rPr>
          <w:i/>
        </w:rPr>
        <w:t xml:space="preserve"> QWIDS (</w:t>
      </w:r>
      <w:r w:rsidRPr="00B54AC2">
        <w:rPr>
          <w:i/>
        </w:rPr>
        <w:t>http://stats.oecd.org/qwids/</w:t>
      </w:r>
      <w:r>
        <w:rPr>
          <w:i/>
        </w:rPr>
        <w:t>)</w:t>
      </w:r>
      <w:r w:rsidR="000A55EF">
        <w:rPr>
          <w:i/>
        </w:rPr>
        <w:t>, DAC2b</w:t>
      </w:r>
    </w:p>
    <w:p w:rsidR="00B54AC2" w:rsidRDefault="00B54AC2" w:rsidP="00B54AC2">
      <w:pPr>
        <w:contextualSpacing/>
      </w:pPr>
    </w:p>
    <w:p w:rsidR="00B54AC2" w:rsidRDefault="00B54AC2" w:rsidP="00B54AC2">
      <w:pPr>
        <w:ind w:left="720"/>
        <w:contextualSpacing/>
      </w:pPr>
      <w:r w:rsidRPr="00FC3D44">
        <w:t>Transactions by the official sector with countries on the DAC List of ODA Recipients which do not meet the conditions for eligibility as Official Development Assistance, either because they are not primarily aimed at development, or because they have a grant element of less than 25 per cent.</w:t>
      </w:r>
      <w:r>
        <w:t xml:space="preserve"> </w:t>
      </w:r>
    </w:p>
    <w:p w:rsidR="00B54AC2" w:rsidRDefault="00B54AC2" w:rsidP="00B54AC2">
      <w:pPr>
        <w:ind w:left="720"/>
        <w:contextualSpacing/>
      </w:pPr>
    </w:p>
    <w:p w:rsidR="00B54AC2" w:rsidRDefault="00B54AC2" w:rsidP="00B54AC2">
      <w:pPr>
        <w:contextualSpacing/>
        <w:rPr>
          <w:b/>
        </w:rPr>
      </w:pPr>
      <w:r w:rsidRPr="00FC3D44">
        <w:rPr>
          <w:b/>
        </w:rPr>
        <w:t>Private Flows</w:t>
      </w:r>
      <w:r w:rsidR="000A55EF">
        <w:rPr>
          <w:b/>
        </w:rPr>
        <w:t>, Net Disbursement</w:t>
      </w:r>
    </w:p>
    <w:p w:rsidR="00B54AC2" w:rsidRDefault="00B54AC2" w:rsidP="00B54AC2">
      <w:pPr>
        <w:ind w:left="720"/>
        <w:contextualSpacing/>
        <w:rPr>
          <w:i/>
        </w:rPr>
      </w:pPr>
      <w:r w:rsidRPr="00B54AC2">
        <w:rPr>
          <w:i/>
        </w:rPr>
        <w:t>Source: OECD</w:t>
      </w:r>
      <w:r>
        <w:rPr>
          <w:i/>
        </w:rPr>
        <w:t xml:space="preserve"> QWIDS (</w:t>
      </w:r>
      <w:r w:rsidRPr="00B54AC2">
        <w:rPr>
          <w:i/>
        </w:rPr>
        <w:t>http://stats.oecd.org/qwids/</w:t>
      </w:r>
      <w:r>
        <w:rPr>
          <w:i/>
        </w:rPr>
        <w:t>)</w:t>
      </w:r>
      <w:r w:rsidR="000A55EF">
        <w:rPr>
          <w:i/>
        </w:rPr>
        <w:t xml:space="preserve"> DAC4</w:t>
      </w:r>
    </w:p>
    <w:p w:rsidR="00B54AC2" w:rsidRDefault="00B54AC2" w:rsidP="00B54AC2">
      <w:pPr>
        <w:contextualSpacing/>
      </w:pPr>
    </w:p>
    <w:p w:rsidR="00B54AC2" w:rsidRDefault="00B54AC2" w:rsidP="00B54AC2">
      <w:pPr>
        <w:ind w:left="720"/>
        <w:contextualSpacing/>
      </w:pPr>
      <w:r>
        <w:t>Consist of flows at market terms financed out of private sector resources (i.e. changes in holdings of private long-term assets held by residents of the reporting country) and private grants (i.e. grants by non-governmental organizations and other private bodies, net of subsidies received from the official sector).</w:t>
      </w:r>
    </w:p>
    <w:p w:rsidR="00B54AC2" w:rsidRDefault="00B54AC2" w:rsidP="00B54AC2">
      <w:pPr>
        <w:ind w:left="720"/>
        <w:contextualSpacing/>
      </w:pPr>
    </w:p>
    <w:p w:rsidR="00B54AC2" w:rsidRDefault="00B54AC2" w:rsidP="00B54AC2">
      <w:pPr>
        <w:ind w:left="720"/>
        <w:contextualSpacing/>
      </w:pPr>
      <w:r>
        <w:t>In data presentations which focus on the outflow of funds from donors, private flows other than foreign direct investment are restricted to credits with a maturity of greater than one year and are usually divided into:</w:t>
      </w:r>
    </w:p>
    <w:p w:rsidR="00B54AC2" w:rsidRDefault="00B54AC2" w:rsidP="00B54AC2">
      <w:pPr>
        <w:pStyle w:val="ListParagraph"/>
        <w:numPr>
          <w:ilvl w:val="0"/>
          <w:numId w:val="1"/>
        </w:numPr>
      </w:pPr>
      <w:r>
        <w:t>Foreign direct investment: Investment made to acquire or add to a lasting interest in an enterprise in a country on the DAC List of ODA Recipients. "Lasting interest" implies a long-term relationship where the direct investor has a significant influence on the management of the enterprise, reflected by ownership of at least 10% of the shares, or equivalent voting power or other means of control. In practice, it is recorded as the change in the net worth of a subsidiary in a recipient country to the parent company, as shown in the books of the latter.</w:t>
      </w:r>
    </w:p>
    <w:p w:rsidR="00B54AC2" w:rsidRDefault="00B54AC2" w:rsidP="00B54AC2">
      <w:pPr>
        <w:pStyle w:val="ListParagraph"/>
        <w:numPr>
          <w:ilvl w:val="0"/>
          <w:numId w:val="1"/>
        </w:numPr>
      </w:pPr>
      <w:r>
        <w:t>Private export credits: See export credits.</w:t>
      </w:r>
    </w:p>
    <w:p w:rsidR="00B54AC2" w:rsidRDefault="00B54AC2" w:rsidP="00B54AC2">
      <w:pPr>
        <w:pStyle w:val="ListParagraph"/>
        <w:numPr>
          <w:ilvl w:val="0"/>
          <w:numId w:val="1"/>
        </w:numPr>
      </w:pPr>
      <w:r>
        <w:t>Securities of multilateral agencies: This covers the transactions of the private non-bank and bank sector in bonds, debentures, etc., issued by multilateral institutions.</w:t>
      </w:r>
    </w:p>
    <w:p w:rsidR="00B54AC2" w:rsidRDefault="00B54AC2" w:rsidP="00B54AC2">
      <w:pPr>
        <w:pStyle w:val="ListParagraph"/>
        <w:numPr>
          <w:ilvl w:val="0"/>
          <w:numId w:val="1"/>
        </w:numPr>
      </w:pPr>
      <w:r>
        <w:t>Bilateral portfolio investment and other: Includes bank lending and the purchase of shares, bonds and real estate.</w:t>
      </w:r>
    </w:p>
    <w:p w:rsidR="00B54AC2" w:rsidRPr="00FC3D44" w:rsidRDefault="00B54AC2" w:rsidP="00B54AC2">
      <w:pPr>
        <w:contextualSpacing/>
      </w:pPr>
    </w:p>
    <w:p w:rsidR="00B54AC2" w:rsidRDefault="00B54AC2" w:rsidP="00B54AC2">
      <w:pPr>
        <w:contextualSpacing/>
        <w:rPr>
          <w:b/>
        </w:rPr>
      </w:pPr>
      <w:r>
        <w:rPr>
          <w:b/>
        </w:rPr>
        <w:lastRenderedPageBreak/>
        <w:t>Personal remittances, received</w:t>
      </w:r>
    </w:p>
    <w:p w:rsidR="00B54AC2" w:rsidRDefault="00B54AC2" w:rsidP="00B54AC2">
      <w:pPr>
        <w:ind w:left="720"/>
        <w:contextualSpacing/>
      </w:pPr>
      <w:r w:rsidRPr="00B54AC2">
        <w:rPr>
          <w:i/>
        </w:rPr>
        <w:t xml:space="preserve">Source: </w:t>
      </w:r>
      <w:r>
        <w:rPr>
          <w:i/>
        </w:rPr>
        <w:t>World Bank WDI (</w:t>
      </w:r>
      <w:r w:rsidRPr="00B54AC2">
        <w:rPr>
          <w:i/>
        </w:rPr>
        <w:t>http://data.worldbank.org/</w:t>
      </w:r>
      <w:r>
        <w:rPr>
          <w:i/>
        </w:rPr>
        <w:t>)</w:t>
      </w:r>
    </w:p>
    <w:p w:rsidR="00B54AC2" w:rsidRDefault="00B54AC2" w:rsidP="00B54AC2">
      <w:pPr>
        <w:contextualSpacing/>
      </w:pPr>
    </w:p>
    <w:p w:rsidR="00B54AC2" w:rsidRDefault="00B54AC2" w:rsidP="00B54AC2">
      <w:pPr>
        <w:ind w:left="720"/>
        <w:contextualSpacing/>
      </w:pPr>
      <w:r>
        <w:t>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Balance of Payments Manual: personal transfers and compensation of employees. Data are in current U.S. dollars. World Bank staff estimates based on IMF balance of payments data.</w:t>
      </w:r>
    </w:p>
    <w:p w:rsidR="004671BB" w:rsidRDefault="004671BB" w:rsidP="00B54AC2">
      <w:pPr>
        <w:contextualSpacing/>
      </w:pPr>
    </w:p>
    <w:p w:rsidR="00B54AC2" w:rsidRDefault="00B54AC2" w:rsidP="00B54AC2">
      <w:pPr>
        <w:contextualSpacing/>
        <w:rPr>
          <w:b/>
        </w:rPr>
      </w:pPr>
      <w:r w:rsidRPr="00B54AC2">
        <w:rPr>
          <w:b/>
        </w:rPr>
        <w:t>General Government Revenue</w:t>
      </w:r>
    </w:p>
    <w:p w:rsidR="00B54AC2" w:rsidRDefault="00B54AC2" w:rsidP="00B54AC2">
      <w:pPr>
        <w:ind w:left="720"/>
        <w:contextualSpacing/>
      </w:pPr>
      <w:r w:rsidRPr="00B54AC2">
        <w:rPr>
          <w:i/>
        </w:rPr>
        <w:t xml:space="preserve">Source: </w:t>
      </w:r>
      <w:r>
        <w:rPr>
          <w:i/>
        </w:rPr>
        <w:t>IMF WEO (</w:t>
      </w:r>
      <w:r w:rsidR="000A55EF">
        <w:rPr>
          <w:i/>
        </w:rPr>
        <w:t>www.</w:t>
      </w:r>
      <w:r w:rsidRPr="00B54AC2">
        <w:rPr>
          <w:i/>
        </w:rPr>
        <w:t>imf.org/external/pubs/ft/weo/2015/01/weodata/download.aspx</w:t>
      </w:r>
      <w:r>
        <w:rPr>
          <w:i/>
        </w:rPr>
        <w:t>)</w:t>
      </w:r>
    </w:p>
    <w:p w:rsidR="00B54AC2" w:rsidRPr="00B54AC2" w:rsidRDefault="00B54AC2" w:rsidP="00B54AC2">
      <w:pPr>
        <w:ind w:left="720"/>
        <w:contextualSpacing/>
        <w:rPr>
          <w:i/>
          <w:sz w:val="22"/>
        </w:rPr>
      </w:pPr>
      <w:r w:rsidRPr="00B54AC2">
        <w:rPr>
          <w:i/>
          <w:sz w:val="22"/>
        </w:rPr>
        <w:t xml:space="preserve">Converted from National Currency to current USD </w:t>
      </w:r>
      <w:r>
        <w:rPr>
          <w:i/>
          <w:sz w:val="22"/>
        </w:rPr>
        <w:t>using</w:t>
      </w:r>
      <w:r w:rsidRPr="00B54AC2">
        <w:rPr>
          <w:i/>
          <w:sz w:val="22"/>
        </w:rPr>
        <w:t xml:space="preserve"> WDI period average exchange rates</w:t>
      </w:r>
    </w:p>
    <w:p w:rsidR="00B54AC2" w:rsidRDefault="00B54AC2" w:rsidP="00B54AC2">
      <w:pPr>
        <w:ind w:left="720"/>
        <w:contextualSpacing/>
      </w:pPr>
    </w:p>
    <w:p w:rsidR="00B54AC2" w:rsidRDefault="00B54AC2" w:rsidP="00B54AC2">
      <w:pPr>
        <w:ind w:left="720"/>
        <w:contextualSpacing/>
      </w:pPr>
      <w:r>
        <w:t>Revenue consists of taxes, social contributions, grants receivable, and other revenue. Revenue increases government’s net worth, which is the difference between its assets and liabilities (GFSM 2001, paragraph 4.20). Note: Transactions that merely change the composition of the balance sheet do not change the net worth position, for example, proceeds</w:t>
      </w:r>
      <w:bookmarkStart w:id="0" w:name="_GoBack"/>
      <w:bookmarkEnd w:id="0"/>
      <w:r>
        <w:t xml:space="preserve"> from sales of nonfinancial and financial assets or incurrence of liabilities.</w:t>
      </w:r>
    </w:p>
    <w:sectPr w:rsidR="00B54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5685A"/>
    <w:multiLevelType w:val="hybridMultilevel"/>
    <w:tmpl w:val="2E28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C2"/>
    <w:rsid w:val="000A55EF"/>
    <w:rsid w:val="004671BB"/>
    <w:rsid w:val="00B54AC2"/>
    <w:rsid w:val="00F9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C2"/>
    <w:pPr>
      <w:ind w:left="720"/>
      <w:contextualSpacing/>
    </w:pPr>
  </w:style>
  <w:style w:type="character" w:styleId="Hyperlink">
    <w:name w:val="Hyperlink"/>
    <w:basedOn w:val="DefaultParagraphFont"/>
    <w:uiPriority w:val="99"/>
    <w:unhideWhenUsed/>
    <w:rsid w:val="000A55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C2"/>
    <w:pPr>
      <w:ind w:left="720"/>
      <w:contextualSpacing/>
    </w:pPr>
  </w:style>
  <w:style w:type="character" w:styleId="Hyperlink">
    <w:name w:val="Hyperlink"/>
    <w:basedOn w:val="DefaultParagraphFont"/>
    <w:uiPriority w:val="99"/>
    <w:unhideWhenUsed/>
    <w:rsid w:val="000A55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Chafetz (E3/PLC)</dc:creator>
  <cp:lastModifiedBy>Aaron Chafetz (E3/PLC)</cp:lastModifiedBy>
  <cp:revision>1</cp:revision>
  <cp:lastPrinted>2015-05-27T12:37:00Z</cp:lastPrinted>
  <dcterms:created xsi:type="dcterms:W3CDTF">2015-05-27T12:11:00Z</dcterms:created>
  <dcterms:modified xsi:type="dcterms:W3CDTF">2015-05-27T12:37:00Z</dcterms:modified>
</cp:coreProperties>
</file>