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Bioscience and Bioengineering — Programs</w:t>
      </w:r>
    </w:p>
    <w:p>
      <w:r>
        <w:rPr>
          <w:rFonts w:ascii="Aptos" w:hAnsi="Aptos"/>
          <w:b/>
          <w:sz w:val="19"/>
        </w:rPr>
        <w:t>IIT Jodhpur • Bioscience and Bioengineering • Programs</w:t>
      </w:r>
    </w:p>
    <w:p>
      <w:pPr>
        <w:pBdr>
          <w:bottom w:val="single" w:sz="5" w:space="1" w:color="B7C4D6"/>
        </w:pBdr>
      </w:pPr>
    </w:p>
    <w:p>
      <w:pPr>
        <w:pStyle w:val="Heading1"/>
        <w:keepNext/>
      </w:pPr>
      <w:r>
        <w:rPr>
          <w:rFonts w:ascii="Aptos" w:hAnsi="Aptos"/>
          <w:b/>
          <w:sz w:val="32"/>
        </w:rPr>
        <w:t>Objectives of the program</w:t>
      </w:r>
    </w:p>
    <w:p>
      <w:pPr>
        <w:spacing w:after="100"/>
      </w:pPr>
      <w:r>
        <w:rPr>
          <w:rFonts w:ascii="Aptos" w:hAnsi="Aptos"/>
          <w:sz w:val="21"/>
        </w:rPr>
        <w:t>The key objectives of the program are: (i) To unravel the basic functioning of biological systems through cellular and Molecular Biology (Neuroscience). (ii) To identify novel methods for early diagnosis, novel drugs, and personalized treatments. (iii) Developing tools and algorithms for biological data management &amp; Drawing epigenetic inferences through the statistical genetics approach. (iv) To develop smart biomaterials and nanomaterials, nanotheranostics, drug delivery, tissue engineering, sensor platforms for applications in healthcare. (v) To develop processes for bioenergy and bioremediation.</w:t>
      </w:r>
    </w:p>
    <w:p>
      <w:pPr>
        <w:spacing w:after="100"/>
      </w:pPr>
      <w:r>
        <w:rPr>
          <w:rFonts w:ascii="Aptos" w:hAnsi="Aptos"/>
          <w:sz w:val="21"/>
        </w:rPr>
        <w:t>The B. Tech. program in Bioengineering at IIT Jodhpur aims to equip our graduates with in-depth knowledge and hands-on training in areas that will be relevant for the next decade. The curriculum attempts to deliver theoretical and practical content that will be needed to address societal needs that will challenge our Graduates globally as well as locally. This includes an unconventional and highly interdisciplinary approach towards problem-solving. The key objectives of this program are: (i) To provide a strong foundational understanding of the concepts in biology, engineering, mathematics, and allied sciences, enabling students to approach bioengineering problems through interdisciplinary lenses. (ii) To stimulate the development of disruptive technologies and futuristic research in the domains of healthcare, energy, and the environment.</w:t>
      </w:r>
    </w:p>
    <w:p>
      <w:pPr>
        <w:spacing w:after="100"/>
      </w:pPr>
      <w:r>
        <w:rPr>
          <w:rFonts w:ascii="Aptos" w:hAnsi="Aptos"/>
          <w:sz w:val="21"/>
        </w:rPr>
        <w:t>To produce professionals with an in-depth knowledge of biological systems and phenomena, with critical thinking and bioengineering research skills that can be effectively put to use in solving problems in focus domains including Healthcare, Energy, Environment, and Agriculture. The program will help graduates to approach problems in the above focus domains by providing knowledge and hands-on laboratory training in the areas of data-driven multi-omics technologies, artificial intelligence &amp; computational biology, systems biology, imaging-based diagnostics, biomaterials, and bio-therapeutics.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https://www.iitj.ac.in/bioscience-bioengineering/en/doctorial-program</w:t>
        </w:r>
      </w:hyperlink>
    </w:p>
    <w:p>
      <w:pPr>
        <w:pStyle w:val="ListBullet"/>
      </w:pPr>
      <w:hyperlink r:id="rId11">
        <w:r>
          <w:rPr>
            <w:color w:val="0563C1"/>
            <w:u w:val="single"/>
          </w:rPr>
          <w:t>https://www.iitj.ac.in/bioscience-bioengineering/en/postgraduate-program</w:t>
        </w:r>
      </w:hyperlink>
    </w:p>
    <w:p>
      <w:pPr>
        <w:pStyle w:val="ListBullet"/>
      </w:pPr>
      <w:hyperlink r:id="rId12">
        <w:r>
          <w:rPr>
            <w:color w:val="0563C1"/>
            <w:u w:val="single"/>
          </w:rPr>
          <w:t>https://www.iitj.ac.in/bioscience-bioengineering/en/undergraduate-program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bioscience-bioengineering/en/doctorial-program" TargetMode="External"/><Relationship Id="rId11" Type="http://schemas.openxmlformats.org/officeDocument/2006/relationships/hyperlink" Target="https://www.iitj.ac.in/bioscience-bioengineering/en/postgraduate-program" TargetMode="External"/><Relationship Id="rId12" Type="http://schemas.openxmlformats.org/officeDocument/2006/relationships/hyperlink" Target="https://www.iitj.ac.in/bioscience-bio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Bioscience and Bioengineering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