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Chemistry — Facilities</w:t>
      </w:r>
    </w:p>
    <w:p>
      <w:r>
        <w:rPr>
          <w:rFonts w:ascii="Aptos" w:hAnsi="Aptos"/>
          <w:b/>
          <w:sz w:val="19"/>
        </w:rPr>
        <w:t>IIT Jodhpur • Chemistry • Facilities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Online Equipment Booking and Sample Analysis Guidelines</w:t>
      </w:r>
    </w:p>
    <w:p>
      <w:pPr>
        <w:spacing w:after="100"/>
      </w:pPr>
      <w:r>
        <w:rPr>
          <w:rFonts w:ascii="Aptos" w:hAnsi="Aptos"/>
          <w:sz w:val="21"/>
        </w:rPr>
        <w:t>The Department of Chemistry, Indian Institute of Technology Jodhpur, offers access to its advanced research instrumentation facilities for external users through a structured ERP online booking and payment system. To ensure efficient operation, transparency, and timely analysis, all users are requested to carefully follow the guidelines outlined below.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https://www.iitj.ac.in/chemistry/en/Booking-for-External-Sample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chemistry/en/Booking-for-External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Chemistry — Facilities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