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Research and Development — General Information</w:t>
      </w:r>
    </w:p>
    <w:p>
      <w:r>
        <w:rPr>
          <w:rFonts w:ascii="Aptos" w:hAnsi="Aptos"/>
          <w:b/>
          <w:sz w:val="19"/>
        </w:rPr>
        <w:t>IIT Jodhpur • Office of Research and Development • General Information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Institute Lecture</w:t>
      </w:r>
    </w:p>
    <w:p>
      <w:pPr>
        <w:spacing w:after="100"/>
      </w:pPr>
      <w:r>
        <w:rPr>
          <w:rFonts w:ascii="Aptos" w:hAnsi="Aptos"/>
          <w:sz w:val="21"/>
        </w:rPr>
        <w:t>Dr. Dinesh Kumar Aswal Member, NDMA, New Delhi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https://www.iitj.ac.in/PageImages/Gallery/08-2026/institute_lecture_1_image_DK_Aswal.jpeg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https://www.iitj.ac.in/office-of-research-development/en/office-of-research-and-development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08-2026/institute_lecture_1_image_DK_Aswal.jpeg" TargetMode="External"/><Relationship Id="rId11" Type="http://schemas.openxmlformats.org/officeDocument/2006/relationships/hyperlink" Target="https://www.iitj.ac.in/office-of-research-development/en/office-of-research-and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Research and Development — General Information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