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Bioscience and Bioengineering — Facilities</w:t>
      </w:r>
    </w:p>
    <w:p>
      <w:r>
        <w:rPr>
          <w:rFonts w:ascii="Aptos" w:hAnsi="Aptos"/>
          <w:b/>
          <w:sz w:val="19"/>
        </w:rPr>
        <w:t>IIT Jodhpur • Bioscience and Bioengineering • Facilities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Teaching Laboratories</w:t>
      </w:r>
    </w:p>
    <w:p>
      <w:pPr>
        <w:spacing w:after="100"/>
      </w:pPr>
      <w:r>
        <w:rPr>
          <w:rFonts w:ascii="Aptos" w:hAnsi="Aptos"/>
          <w:sz w:val="21"/>
        </w:rPr>
        <w:t>| The Department of Bioscience &amp; Bioengineering operates it's laboratory courses in fully equipped state-of-the-art teaching laboratories (205 &amp; 206) in the basic laboratory building. These basic &amp; advanced bioscience &amp; bioengineering labs provide access to a host of equipment required for teaching bioscience &amp; bioengineering at the undergraduate and post-graduate levels. |</w:t>
      </w:r>
    </w:p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https://www.iitj.ac.in/bioscience-bioengineering/en/laboratories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bioscience-bioengineering/en/labora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Bioscience and Bioengineering — Facilities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