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Chemistry — Research</w:t>
      </w:r>
    </w:p>
    <w:p>
      <w:r>
        <w:rPr>
          <w:rFonts w:ascii="Aptos" w:hAnsi="Aptos"/>
          <w:b/>
          <w:sz w:val="19"/>
        </w:rPr>
        <w:t>IIT Jodhpur • Chemistry • Research</w:t>
      </w:r>
    </w:p>
    <w:p>
      <w:pPr>
        <w:pBdr>
          <w:bottom w:val="single" w:sz="5" w:space="1" w:color="B7C4D6"/>
        </w:pBdr>
      </w:pPr>
    </w:p>
    <w:p>
      <w:pPr>
        <w:pStyle w:val="Heading1"/>
        <w:keepNext/>
      </w:pPr>
      <w:r>
        <w:rPr>
          <w:rFonts w:ascii="Aptos" w:hAnsi="Aptos"/>
          <w:b/>
          <w:sz w:val="32"/>
        </w:rPr>
        <w:t>Research Areas</w:t>
      </w:r>
    </w:p>
    <w:p>
      <w:pPr>
        <w:pStyle w:val="ListBullet"/>
        <w:spacing w:after="40"/>
      </w:pPr>
      <w:r>
        <w:rPr>
          <w:rFonts w:ascii="Aptos" w:hAnsi="Aptos"/>
          <w:sz w:val="20"/>
        </w:rPr>
        <w:t>Department of Chemistry @IIT Jodhpur presently emphasizes on five primary research areas of Inorganic Chemistry, Organic Chemistry, Physical Chemistry, Material Chemistry and Computational Chemistry.</w:t>
      </w:r>
    </w:p>
    <w:p>
      <w:pPr>
        <w:pStyle w:val="ListBullet"/>
        <w:spacing w:after="40"/>
      </w:pPr>
      <w:r>
        <w:rPr>
          <w:rFonts w:ascii="Aptos" w:hAnsi="Aptos"/>
          <w:sz w:val="20"/>
        </w:rPr>
        <w:t>The importance of the Department’s research in the real world is exemplified by our industrial collaborations.</w:t>
      </w:r>
    </w:p>
    <w:p>
      <w:pPr>
        <w:pStyle w:val="ListBullet"/>
        <w:spacing w:after="40"/>
      </w:pPr>
      <w:r>
        <w:rPr>
          <w:rFonts w:ascii="Aptos" w:hAnsi="Aptos"/>
          <w:sz w:val="20"/>
        </w:rPr>
        <w:t>Faculty Members are involved in following major thrust areas:</w:t>
      </w:r>
    </w:p>
    <w:p>
      <w:pPr>
        <w:spacing w:after="100"/>
      </w:pPr>
      <w:r>
        <w:rPr>
          <w:rFonts w:ascii="Aptos" w:hAnsi="Aptos"/>
          <w:sz w:val="21"/>
        </w:rPr>
        <w:t>Thrust Area</w:t>
      </w:r>
    </w:p>
    <w:p>
      <w:pPr>
        <w:pStyle w:val="Heading1"/>
        <w:keepNext/>
      </w:pPr>
      <w:r>
        <w:rPr>
          <w:rFonts w:ascii="Aptos" w:hAnsi="Aptos"/>
          <w:b/>
          <w:sz w:val="32"/>
        </w:rPr>
        <w:t>Research Facilities</w:t>
      </w:r>
    </w:p>
    <w:p>
      <w:pPr>
        <w:pStyle w:val="ListBullet"/>
        <w:spacing w:after="40"/>
      </w:pPr>
      <w:r>
        <w:rPr>
          <w:rFonts w:ascii="Aptos" w:hAnsi="Aptos"/>
          <w:sz w:val="20"/>
        </w:rPr>
        <w:t>The department of chemistry has taken major initiatives and played an active role in the setting up of advanced instrumentation facility for the Department as well as the Institute at Centre for Advanced Scientific Equipment.</w:t>
      </w:r>
    </w:p>
    <w:p>
      <w:pPr>
        <w:pStyle w:val="ListBullet"/>
        <w:spacing w:after="40"/>
      </w:pPr>
      <w:r>
        <w:rPr>
          <w:rFonts w:ascii="Aptos" w:hAnsi="Aptos"/>
          <w:sz w:val="20"/>
        </w:rPr>
        <w:t>Some of the research facilities include a Differential Scanning Calorimeter, Simultaneous Thermal Analyser, Powder X-ray diffractometer, Single crystal X-ray diffractometer, Atomic Force Microscope (Park XE-70), Scanning Electron Microscope with Electron Dispersion Spectrometer, Nuclear Magnetic Resonance Spectrometer (500 MHz), UV-vis spectrometers, Fourier-transform infrared spectroscopy (FTIR), Fluorescence spectrometer, Surface area analyzer (Physisorption and CHemisorption analysers), Dynacool-PPMS, SQUID, Raman spectrometer, Thermal Evaporator, Furnaces, Glove Box, Solar Simulator etc.</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https://www.iitj.ac.in/PageImages/Gallery/02-2025/home-image--638762500258739641.png</w:t>
        </w:r>
      </w:hyperlink>
    </w:p>
    <w:p>
      <w:pPr>
        <w:pStyle w:val="ListBullet"/>
      </w:pPr>
      <w:hyperlink r:id="rId11">
        <w:r>
          <w:rPr>
            <w:color w:val="0563C1"/>
            <w:u w:val="single"/>
          </w:rPr>
          <w:t>https://www.iitj.ac.in/chemistry/en/about-research</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2-2025/home-image--638762500258739641.png" TargetMode="External"/><Relationship Id="rId11" Type="http://schemas.openxmlformats.org/officeDocument/2006/relationships/hyperlink" Target="https://www.iitj.ac.in/chemistry/en/abou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Chemistry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