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Mathematics — Programs</w:t>
      </w:r>
    </w:p>
    <w:p>
      <w:r>
        <w:rPr>
          <w:rFonts w:ascii="Aptos" w:hAnsi="Aptos"/>
          <w:b/>
          <w:sz w:val="19"/>
        </w:rPr>
        <w:t>IIT Jodhpur • Mathematics • Programs</w:t>
      </w:r>
    </w:p>
    <w:p>
      <w:pPr>
        <w:pBdr>
          <w:bottom w:val="single" w:sz="5" w:space="1" w:color="B7C4D6"/>
        </w:pBdr>
      </w:pPr>
    </w:p>
    <w:p>
      <w:pPr>
        <w:pStyle w:val="Heading1"/>
        <w:keepNext/>
      </w:pPr>
      <w:r>
        <w:rPr>
          <w:rFonts w:ascii="Aptos" w:hAnsi="Aptos"/>
          <w:b/>
          <w:sz w:val="32"/>
        </w:rPr>
        <w:t>Undergraduate Programs</w:t>
      </w:r>
    </w:p>
    <w:p>
      <w:pPr>
        <w:spacing w:after="100"/>
      </w:pPr>
      <w:r>
        <w:rPr>
          <w:rFonts w:ascii="Aptos" w:hAnsi="Aptos"/>
          <w:sz w:val="21"/>
        </w:rPr>
        <w:t>B.S. in Mathematics and Computing The B.S. in Mathematics and Computing is designed to meet the growing demand across industry and research for professionals with strong mathematical foundations and advanced computational skills. The programme integrates core areas such as analysis, algebra, probability, and optimisation with computing disciplines including algorithms, data structures, and machine learning, enabling students to address complex real-world problems with rigour and precision. By placing mathematical thinking at the core of computation, it distinguishes itself from conventional computing degrees. Graduates will be equipped to work across domains such as finance (quantitative modelling), technology (algorithm design), data science (statistical learning), and security (cryptography), while also being well prepared for advanced research and interdisciplinary innovation. B.S. in Mathematics and Computing - Curriculum &amp; Programme Structure (719 KB) Concept Note</w:t>
      </w:r>
    </w:p>
    <w:p>
      <w:pPr>
        <w:pStyle w:val="Heading1"/>
        <w:keepNext/>
      </w:pPr>
      <w:r>
        <w:rPr>
          <w:rFonts w:ascii="Aptos" w:hAnsi="Aptos"/>
          <w:b/>
          <w:sz w:val="32"/>
        </w:rPr>
        <w:t>3. Objectives of the program</w:t>
      </w:r>
    </w:p>
    <w:p>
      <w:pPr>
        <w:spacing w:after="100"/>
      </w:pPr>
      <w:r>
        <w:rPr>
          <w:rFonts w:ascii="Aptos" w:hAnsi="Aptos"/>
          <w:sz w:val="21"/>
        </w:rPr>
        <w:t>The B.S. in Mathematics and Computing aims to fulfil the following objectives:</w:t>
      </w:r>
    </w:p>
    <w:p>
      <w:pPr>
        <w:pStyle w:val="ListBullet"/>
        <w:spacing w:after="40"/>
      </w:pPr>
      <w:r>
        <w:rPr>
          <w:rFonts w:ascii="Aptos" w:hAnsi="Aptos"/>
          <w:sz w:val="20"/>
        </w:rPr>
        <w:t>Understanding core concepts: Develop graduates with strong mathematical foundations and advanced computational skills, emphasising mathematical thinking as the basis of computational problem-solving.</w:t>
      </w:r>
    </w:p>
    <w:p>
      <w:pPr>
        <w:pStyle w:val="ListBullet"/>
        <w:spacing w:after="40"/>
      </w:pPr>
      <w:r>
        <w:rPr>
          <w:rFonts w:ascii="Aptos" w:hAnsi="Aptos"/>
          <w:sz w:val="20"/>
        </w:rPr>
        <w:t>Algorithmic and computational thinking skills: Translate complex real-world problems into mathematical models for analysis and optimisation.</w:t>
      </w:r>
    </w:p>
    <w:p>
      <w:pPr>
        <w:pStyle w:val="ListBullet"/>
        <w:spacing w:after="40"/>
      </w:pPr>
      <w:r>
        <w:rPr>
          <w:rFonts w:ascii="Aptos" w:hAnsi="Aptos"/>
          <w:sz w:val="20"/>
        </w:rPr>
        <w:t>Industry readiness: Prepare students to build and implement robust systems for data-intensive fields, including Scientific Computing, Machine Learning, Computational Finance, and Cryptography.</w:t>
      </w:r>
    </w:p>
    <w:p>
      <w:pPr>
        <w:pStyle w:val="ListBullet"/>
        <w:spacing w:after="40"/>
      </w:pPr>
      <w:r>
        <w:rPr>
          <w:rFonts w:ascii="Aptos" w:hAnsi="Aptos"/>
          <w:sz w:val="20"/>
        </w:rPr>
        <w:t>Research readiness: Equip graduates with the expertise required to drive innovation in academic and industrial research.</w:t>
      </w:r>
    </w:p>
    <w:p>
      <w:pPr>
        <w:pStyle w:val="ListBullet"/>
        <w:spacing w:after="40"/>
      </w:pPr>
      <w:r>
        <w:rPr>
          <w:rFonts w:ascii="Aptos" w:hAnsi="Aptos"/>
          <w:sz w:val="20"/>
        </w:rPr>
        <w:t>Leadership: Develop entrepreneurial skills and interdisciplinary competence for leadership roles in industry and academia.</w:t>
      </w:r>
    </w:p>
    <w:p>
      <w:pPr>
        <w:pStyle w:val="Heading1"/>
        <w:keepNext/>
      </w:pPr>
      <w:r>
        <w:rPr>
          <w:rFonts w:ascii="Aptos" w:hAnsi="Aptos"/>
          <w:b/>
          <w:sz w:val="32"/>
        </w:rPr>
        <w:t>5. Structure of the program:</w:t>
      </w:r>
    </w:p>
    <w:tbl>
      <w:tblPr>
        <w:tblStyle w:val="TableGrid"/>
        <w:tblW w:type="auto" w:w="0"/>
        <w:jc w:val="left"/>
        <w:tblLook w:firstColumn="1" w:firstRow="1" w:lastColumn="0" w:lastRow="0" w:noHBand="0" w:noVBand="1" w:val="04A0"/>
      </w:tblPr>
      <w:tblGrid>
        <w:gridCol w:w="5040"/>
        <w:gridCol w:w="5040"/>
      </w:tblGrid>
      <w:tr>
        <w:tc>
          <w:tcPr>
            <w:tcW w:type="dxa" w:w="5040"/>
          </w:tcPr>
          <w:p>
            <w:r>
              <w:rPr>
                <w:rFonts w:ascii="Aptos" w:hAnsi="Aptos"/>
                <w:b/>
                <w:sz w:val="18"/>
              </w:rPr>
              <w:t>Min. credits</w:t>
            </w:r>
          </w:p>
        </w:tc>
        <w:tc>
          <w:tcPr>
            <w:tcW w:type="dxa" w:w="5040"/>
          </w:tcPr>
          <w:p>
            <w:r>
              <w:rPr>
                <w:rFonts w:ascii="Aptos" w:hAnsi="Aptos"/>
                <w:b/>
                <w:sz w:val="18"/>
              </w:rPr>
            </w:r>
          </w:p>
        </w:tc>
      </w:tr>
      <w:tr>
        <w:tc>
          <w:tcPr>
            <w:tcW w:type="dxa" w:w="5040"/>
          </w:tcPr>
          <w:p>
            <w:r>
              <w:rPr>
                <w:rFonts w:ascii="Aptos" w:hAnsi="Aptos"/>
                <w:b w:val="0"/>
                <w:sz w:val="18"/>
              </w:rPr>
              <w:t>Program Core</w:t>
            </w:r>
          </w:p>
        </w:tc>
        <w:tc>
          <w:tcPr>
            <w:tcW w:type="dxa" w:w="5040"/>
          </w:tcPr>
          <w:p>
            <w:r>
              <w:rPr>
                <w:rFonts w:ascii="Aptos" w:hAnsi="Aptos"/>
                <w:b w:val="0"/>
                <w:sz w:val="18"/>
              </w:rPr>
              <w:t>42</w:t>
            </w:r>
          </w:p>
        </w:tc>
      </w:tr>
      <w:tr>
        <w:tc>
          <w:tcPr>
            <w:tcW w:type="dxa" w:w="5040"/>
          </w:tcPr>
          <w:p>
            <w:r>
              <w:rPr>
                <w:rFonts w:ascii="Aptos" w:hAnsi="Aptos"/>
                <w:b w:val="0"/>
                <w:sz w:val="18"/>
              </w:rPr>
              <w:t>Program Elective</w:t>
            </w:r>
          </w:p>
        </w:tc>
        <w:tc>
          <w:tcPr>
            <w:tcW w:type="dxa" w:w="5040"/>
          </w:tcPr>
          <w:p>
            <w:r>
              <w:rPr>
                <w:rFonts w:ascii="Aptos" w:hAnsi="Aptos"/>
                <w:b w:val="0"/>
                <w:sz w:val="18"/>
              </w:rPr>
              <w:t>12</w:t>
            </w:r>
          </w:p>
        </w:tc>
      </w:tr>
      <w:tr>
        <w:tc>
          <w:tcPr>
            <w:tcW w:type="dxa" w:w="5040"/>
          </w:tcPr>
          <w:p>
            <w:r>
              <w:rPr>
                <w:rFonts w:ascii="Aptos" w:hAnsi="Aptos"/>
                <w:b w:val="0"/>
                <w:sz w:val="18"/>
              </w:rPr>
              <w:t>Open Elective</w:t>
            </w:r>
          </w:p>
        </w:tc>
        <w:tc>
          <w:tcPr>
            <w:tcW w:type="dxa" w:w="5040"/>
          </w:tcPr>
          <w:p>
            <w:r>
              <w:rPr>
                <w:rFonts w:ascii="Aptos" w:hAnsi="Aptos"/>
                <w:b w:val="0"/>
                <w:sz w:val="18"/>
              </w:rPr>
              <w:t>6</w:t>
            </w:r>
          </w:p>
        </w:tc>
      </w:tr>
      <w:tr>
        <w:tc>
          <w:tcPr>
            <w:tcW w:type="dxa" w:w="5040"/>
          </w:tcPr>
          <w:p>
            <w:r>
              <w:rPr>
                <w:rFonts w:ascii="Aptos" w:hAnsi="Aptos"/>
                <w:b w:val="0"/>
                <w:sz w:val="18"/>
              </w:rPr>
              <w:t>(Non-Graded) Industry-Academia Summer Internship (Academic internship allowed in IIT Jodhpur)</w:t>
            </w:r>
          </w:p>
        </w:tc>
        <w:tc>
          <w:tcPr>
            <w:tcW w:type="dxa" w:w="5040"/>
          </w:tcPr>
          <w:p>
            <w:r>
              <w:rPr>
                <w:rFonts w:ascii="Aptos" w:hAnsi="Aptos"/>
                <w:b w:val="0"/>
                <w:sz w:val="18"/>
              </w:rPr>
              <w:t>2</w:t>
            </w:r>
          </w:p>
        </w:tc>
      </w:tr>
      <w:tr>
        <w:tc>
          <w:tcPr>
            <w:tcW w:type="dxa" w:w="5040"/>
          </w:tcPr>
          <w:p>
            <w:r>
              <w:rPr>
                <w:rFonts w:ascii="Aptos" w:hAnsi="Aptos"/>
                <w:b w:val="0"/>
                <w:sz w:val="18"/>
              </w:rPr>
              <w:t>Thesis*</w:t>
            </w:r>
          </w:p>
        </w:tc>
        <w:tc>
          <w:tcPr>
            <w:tcW w:type="dxa" w:w="5040"/>
          </w:tcPr>
          <w:p>
            <w:r>
              <w:rPr>
                <w:rFonts w:ascii="Aptos" w:hAnsi="Aptos"/>
                <w:b w:val="0"/>
                <w:sz w:val="18"/>
              </w:rPr>
              <w:t>12</w:t>
            </w:r>
          </w:p>
        </w:tc>
      </w:tr>
      <w:tr>
        <w:tc>
          <w:tcPr>
            <w:tcW w:type="dxa" w:w="5040"/>
          </w:tcPr>
          <w:p>
            <w:r>
              <w:rPr>
                <w:rFonts w:ascii="Aptos" w:hAnsi="Aptos"/>
                <w:b w:val="0"/>
                <w:sz w:val="18"/>
              </w:rPr>
              <w:t>Total Credit</w:t>
            </w:r>
          </w:p>
        </w:tc>
        <w:tc>
          <w:tcPr>
            <w:tcW w:type="dxa" w:w="5040"/>
          </w:tcPr>
          <w:p>
            <w:r>
              <w:rPr>
                <w:rFonts w:ascii="Aptos" w:hAnsi="Aptos"/>
                <w:b w:val="0"/>
                <w:sz w:val="18"/>
              </w:rPr>
              <w:t>72</w:t>
            </w:r>
          </w:p>
        </w:tc>
      </w:tr>
    </w:tbl>
    <w:p/>
    <w:p>
      <w:pPr>
        <w:spacing w:after="100"/>
      </w:pPr>
      <w:r>
        <w:rPr>
          <w:rFonts w:ascii="Aptos" w:hAnsi="Aptos"/>
          <w:sz w:val="21"/>
        </w:rPr>
        <w:t>*The thesis work must be aligned with the objectives of the enrolled program as stated in the concept note</w:t>
      </w:r>
    </w:p>
    <w:p>
      <w:pPr>
        <w:pStyle w:val="Heading1"/>
        <w:keepNext/>
      </w:pPr>
      <w:r>
        <w:rPr>
          <w:rFonts w:ascii="Aptos" w:hAnsi="Aptos"/>
          <w:b/>
          <w:sz w:val="32"/>
        </w:rPr>
        <w:t>2. Objectives of the Program</w:t>
      </w:r>
    </w:p>
    <w:p>
      <w:pPr>
        <w:spacing w:after="100"/>
      </w:pPr>
      <w:r>
        <w:rPr>
          <w:rFonts w:ascii="Aptos" w:hAnsi="Aptos"/>
          <w:sz w:val="21"/>
        </w:rPr>
        <w:t>The M.Sc. program in Mathematics at IIT Jodhpur is designed to nurture motivated students in frontier areas of mathematics and to develop a well-trained workforce for industry and academia. The program also aims to create a vibrant academic environment that fosters independent thinking, innovation, and a strong spirit of teamwork.</w:t>
      </w:r>
    </w:p>
    <w:p>
      <w:pPr>
        <w:pStyle w:val="Heading1"/>
        <w:keepNext/>
      </w:pPr>
      <w:r>
        <w:rPr>
          <w:rFonts w:ascii="Aptos" w:hAnsi="Aptos"/>
          <w:b/>
          <w:sz w:val="32"/>
        </w:rPr>
        <w:t>Postgraduate Programs</w:t>
      </w:r>
    </w:p>
    <w:p>
      <w:pPr>
        <w:spacing w:after="100"/>
      </w:pPr>
      <w:r>
        <w:rPr>
          <w:rFonts w:ascii="Aptos" w:hAnsi="Aptos"/>
          <w:sz w:val="21"/>
        </w:rPr>
        <w:t>| While the classical aspects of mathematics are providing foundations for the analysis of key principles behind such modern and emergent technologies, modern aspects of mathematics coupled with computational capabilities are opening new avenues for further explorations. The M.Sc. (Mathematics) and M.Tech. (Data and Computational Sciences) Programs at IIT Jodhpur aims at tapping these opportunities by developing workforce specialized in mathematical aspects of key technologies. The Department of Mathematics hosts the following post-graduate degree Programs, namely: | | (a) | M.Sc. (Mathematics) Program, | | (b) | M.Sc.- M.Tech. (Mathematics &amp; Data Science) Program-M.Tech.-\(Data-and-Computational-Sciences\)), | | (c) | M.Tech. (Data and Computational Science) Program, (Download file: 994 KB) and | | (d) | M.Tech.- Ph.D. (Data and Computational Science) Program (Download file: 994 KB) |</w:t>
      </w:r>
    </w:p>
    <w:p>
      <w:pPr>
        <w:pStyle w:val="Heading1"/>
        <w:keepNext/>
      </w:pPr>
      <w:r>
        <w:rPr>
          <w:rFonts w:ascii="Aptos" w:hAnsi="Aptos"/>
          <w:b/>
          <w:sz w:val="32"/>
        </w:rPr>
        <w:t>6.3 Minor in Mathematics &amp; Computing</w:t>
      </w:r>
    </w:p>
    <w:p>
      <w:pPr>
        <w:spacing w:after="100"/>
      </w:pPr>
      <w:r>
        <w:rPr>
          <w:rFonts w:ascii="Aptos" w:hAnsi="Aptos"/>
          <w:sz w:val="21"/>
        </w:rPr>
        <w:t>Students aspiring to earn a Minor in Mathematics and Computing must successfully complete the courses listed below.</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tcPr>
          <w:p>
            <w:r>
              <w:rPr>
                <w:rFonts w:ascii="Aptos" w:hAnsi="Aptos"/>
                <w:b/>
                <w:sz w:val="18"/>
              </w:rPr>
              <w:t>S. No.</w:t>
            </w:r>
          </w:p>
        </w:tc>
        <w:tc>
          <w:tcPr>
            <w:tcW w:type="dxa" w:w="2520"/>
          </w:tcPr>
          <w:p>
            <w:r>
              <w:rPr>
                <w:rFonts w:ascii="Aptos" w:hAnsi="Aptos"/>
                <w:b/>
                <w:sz w:val="18"/>
              </w:rPr>
              <w:t>Course Name</w:t>
            </w:r>
          </w:p>
        </w:tc>
        <w:tc>
          <w:tcPr>
            <w:tcW w:type="dxa" w:w="2520"/>
          </w:tcPr>
          <w:p>
            <w:r>
              <w:rPr>
                <w:rFonts w:ascii="Aptos" w:hAnsi="Aptos"/>
                <w:b/>
                <w:sz w:val="18"/>
              </w:rPr>
              <w:t>LTP</w:t>
            </w:r>
          </w:p>
        </w:tc>
        <w:tc>
          <w:tcPr>
            <w:tcW w:type="dxa" w:w="2520"/>
          </w:tcPr>
          <w:p>
            <w:r>
              <w:rPr>
                <w:rFonts w:ascii="Aptos" w:hAnsi="Aptos"/>
                <w:b/>
                <w:sz w:val="18"/>
              </w:rPr>
              <w:t>Credits</w:t>
            </w:r>
          </w:p>
        </w:tc>
      </w:tr>
      <w:tr>
        <w:tc>
          <w:tcPr>
            <w:tcW w:type="dxa" w:w="2520"/>
          </w:tcPr>
          <w:p>
            <w:r>
              <w:rPr>
                <w:rFonts w:ascii="Aptos" w:hAnsi="Aptos"/>
                <w:b w:val="0"/>
                <w:sz w:val="18"/>
              </w:rPr>
              <w:t>1</w:t>
            </w:r>
          </w:p>
        </w:tc>
        <w:tc>
          <w:tcPr>
            <w:tcW w:type="dxa" w:w="2520"/>
          </w:tcPr>
          <w:p>
            <w:r>
              <w:rPr>
                <w:rFonts w:ascii="Aptos" w:hAnsi="Aptos"/>
                <w:b w:val="0"/>
                <w:sz w:val="18"/>
              </w:rPr>
              <w:t>Statistical Computation &amp; Simulation</w:t>
            </w:r>
          </w:p>
        </w:tc>
        <w:tc>
          <w:tcPr>
            <w:tcW w:type="dxa" w:w="2520"/>
          </w:tcPr>
          <w:p>
            <w:r>
              <w:rPr>
                <w:rFonts w:ascii="Aptos" w:hAnsi="Aptos"/>
                <w:b w:val="0"/>
                <w:sz w:val="18"/>
              </w:rPr>
              <w:t>3-0-0</w:t>
            </w:r>
          </w:p>
        </w:tc>
        <w:tc>
          <w:tcPr>
            <w:tcW w:type="dxa" w:w="2520"/>
          </w:tcPr>
          <w:p>
            <w:r>
              <w:rPr>
                <w:rFonts w:ascii="Aptos" w:hAnsi="Aptos"/>
                <w:b w:val="0"/>
                <w:sz w:val="18"/>
              </w:rPr>
              <w:t>3</w:t>
            </w:r>
          </w:p>
        </w:tc>
      </w:tr>
      <w:tr>
        <w:tc>
          <w:tcPr>
            <w:tcW w:type="dxa" w:w="2520"/>
          </w:tcPr>
          <w:p>
            <w:r>
              <w:rPr>
                <w:rFonts w:ascii="Aptos" w:hAnsi="Aptos"/>
                <w:b w:val="0"/>
                <w:sz w:val="18"/>
              </w:rPr>
              <w:t>2</w:t>
            </w:r>
          </w:p>
        </w:tc>
        <w:tc>
          <w:tcPr>
            <w:tcW w:type="dxa" w:w="2520"/>
          </w:tcPr>
          <w:p>
            <w:r>
              <w:rPr>
                <w:rFonts w:ascii="Aptos" w:hAnsi="Aptos"/>
                <w:b w:val="0"/>
                <w:sz w:val="18"/>
              </w:rPr>
              <w:t>Computational Linear Algebra</w:t>
            </w:r>
          </w:p>
        </w:tc>
        <w:tc>
          <w:tcPr>
            <w:tcW w:type="dxa" w:w="2520"/>
          </w:tcPr>
          <w:p>
            <w:r>
              <w:rPr>
                <w:rFonts w:ascii="Aptos" w:hAnsi="Aptos"/>
                <w:b w:val="0"/>
                <w:sz w:val="18"/>
              </w:rPr>
              <w:t>3-0-0</w:t>
            </w:r>
          </w:p>
        </w:tc>
        <w:tc>
          <w:tcPr>
            <w:tcW w:type="dxa" w:w="2520"/>
          </w:tcPr>
          <w:p>
            <w:r>
              <w:rPr>
                <w:rFonts w:ascii="Aptos" w:hAnsi="Aptos"/>
                <w:b w:val="0"/>
                <w:sz w:val="18"/>
              </w:rPr>
              <w:t>3</w:t>
            </w:r>
          </w:p>
        </w:tc>
      </w:tr>
      <w:tr>
        <w:tc>
          <w:tcPr>
            <w:tcW w:type="dxa" w:w="2520"/>
          </w:tcPr>
          <w:p>
            <w:r>
              <w:rPr>
                <w:rFonts w:ascii="Aptos" w:hAnsi="Aptos"/>
                <w:b w:val="0"/>
                <w:sz w:val="18"/>
              </w:rPr>
              <w:t>3</w:t>
            </w:r>
          </w:p>
        </w:tc>
        <w:tc>
          <w:tcPr>
            <w:tcW w:type="dxa" w:w="2520"/>
          </w:tcPr>
          <w:p>
            <w:r>
              <w:rPr>
                <w:rFonts w:ascii="Aptos" w:hAnsi="Aptos"/>
                <w:b w:val="0"/>
                <w:sz w:val="18"/>
              </w:rPr>
              <w:t>Computation and Simulation Lab</w:t>
            </w:r>
          </w:p>
        </w:tc>
        <w:tc>
          <w:tcPr>
            <w:tcW w:type="dxa" w:w="2520"/>
          </w:tcPr>
          <w:p>
            <w:r>
              <w:rPr>
                <w:rFonts w:ascii="Aptos" w:hAnsi="Aptos"/>
                <w:b w:val="0"/>
                <w:sz w:val="18"/>
              </w:rPr>
              <w:t>0-0-4</w:t>
            </w:r>
          </w:p>
        </w:tc>
        <w:tc>
          <w:tcPr>
            <w:tcW w:type="dxa" w:w="2520"/>
          </w:tcPr>
          <w:p>
            <w:r>
              <w:rPr>
                <w:rFonts w:ascii="Aptos" w:hAnsi="Aptos"/>
                <w:b w:val="0"/>
                <w:sz w:val="18"/>
              </w:rPr>
              <w:t>2</w:t>
            </w:r>
          </w:p>
        </w:tc>
      </w:tr>
      <w:tr>
        <w:tc>
          <w:tcPr>
            <w:tcW w:type="dxa" w:w="2520"/>
          </w:tcPr>
          <w:p>
            <w:r>
              <w:rPr>
                <w:rFonts w:ascii="Aptos" w:hAnsi="Aptos"/>
                <w:b w:val="0"/>
                <w:sz w:val="18"/>
              </w:rPr>
              <w:t>4</w:t>
            </w:r>
          </w:p>
        </w:tc>
        <w:tc>
          <w:tcPr>
            <w:tcW w:type="dxa" w:w="2520"/>
          </w:tcPr>
          <w:p>
            <w:r>
              <w:rPr>
                <w:rFonts w:ascii="Aptos" w:hAnsi="Aptos"/>
                <w:b w:val="0"/>
                <w:sz w:val="18"/>
              </w:rPr>
              <w:t>Applied Multivariate Analysis</w:t>
            </w:r>
          </w:p>
        </w:tc>
        <w:tc>
          <w:tcPr>
            <w:tcW w:type="dxa" w:w="2520"/>
          </w:tcPr>
          <w:p>
            <w:r>
              <w:rPr>
                <w:rFonts w:ascii="Aptos" w:hAnsi="Aptos"/>
                <w:b w:val="0"/>
                <w:sz w:val="18"/>
              </w:rPr>
              <w:t>3-0-0</w:t>
            </w:r>
          </w:p>
        </w:tc>
        <w:tc>
          <w:tcPr>
            <w:tcW w:type="dxa" w:w="2520"/>
          </w:tcPr>
          <w:p>
            <w:r>
              <w:rPr>
                <w:rFonts w:ascii="Aptos" w:hAnsi="Aptos"/>
                <w:b w:val="0"/>
                <w:sz w:val="18"/>
              </w:rPr>
              <w:t>3</w:t>
            </w:r>
          </w:p>
        </w:tc>
      </w:tr>
      <w:tr>
        <w:tc>
          <w:tcPr>
            <w:tcW w:type="dxa" w:w="2520"/>
          </w:tcPr>
          <w:p>
            <w:r>
              <w:rPr>
                <w:rFonts w:ascii="Aptos" w:hAnsi="Aptos"/>
                <w:b w:val="0"/>
                <w:sz w:val="18"/>
              </w:rPr>
              <w:t>5</w:t>
            </w:r>
          </w:p>
        </w:tc>
        <w:tc>
          <w:tcPr>
            <w:tcW w:type="dxa" w:w="2520"/>
          </w:tcPr>
          <w:p>
            <w:r>
              <w:rPr>
                <w:rFonts w:ascii="Aptos" w:hAnsi="Aptos"/>
                <w:b w:val="0"/>
                <w:sz w:val="18"/>
              </w:rPr>
              <w:t>Modern Algebra</w:t>
            </w:r>
          </w:p>
        </w:tc>
        <w:tc>
          <w:tcPr>
            <w:tcW w:type="dxa" w:w="2520"/>
          </w:tcPr>
          <w:p>
            <w:r>
              <w:rPr>
                <w:rFonts w:ascii="Aptos" w:hAnsi="Aptos"/>
                <w:b w:val="0"/>
                <w:sz w:val="18"/>
              </w:rPr>
              <w:t>3-0-0</w:t>
            </w:r>
          </w:p>
        </w:tc>
        <w:tc>
          <w:tcPr>
            <w:tcW w:type="dxa" w:w="2520"/>
          </w:tcPr>
          <w:p>
            <w:r>
              <w:rPr>
                <w:rFonts w:ascii="Aptos" w:hAnsi="Aptos"/>
                <w:b w:val="0"/>
                <w:sz w:val="18"/>
              </w:rPr>
              <w:t>3</w:t>
            </w:r>
          </w:p>
        </w:tc>
      </w:tr>
      <w:tr>
        <w:tc>
          <w:tcPr>
            <w:tcW w:type="dxa" w:w="2520"/>
          </w:tcPr>
          <w:p>
            <w:r>
              <w:rPr>
                <w:rFonts w:ascii="Aptos" w:hAnsi="Aptos"/>
                <w:b w:val="0"/>
                <w:sz w:val="18"/>
              </w:rPr>
              <w:t>6</w:t>
            </w:r>
          </w:p>
        </w:tc>
        <w:tc>
          <w:tcPr>
            <w:tcW w:type="dxa" w:w="2520"/>
          </w:tcPr>
          <w:p>
            <w:r>
              <w:rPr>
                <w:rFonts w:ascii="Aptos" w:hAnsi="Aptos"/>
                <w:b w:val="0"/>
                <w:sz w:val="18"/>
              </w:rPr>
              <w:t>Applied Mathematics Lab</w:t>
            </w:r>
          </w:p>
        </w:tc>
        <w:tc>
          <w:tcPr>
            <w:tcW w:type="dxa" w:w="2520"/>
          </w:tcPr>
          <w:p>
            <w:r>
              <w:rPr>
                <w:rFonts w:ascii="Aptos" w:hAnsi="Aptos"/>
                <w:b w:val="0"/>
                <w:sz w:val="18"/>
              </w:rPr>
              <w:t>0-0-4</w:t>
            </w:r>
          </w:p>
        </w:tc>
        <w:tc>
          <w:tcPr>
            <w:tcW w:type="dxa" w:w="2520"/>
          </w:tcPr>
          <w:p>
            <w:r>
              <w:rPr>
                <w:rFonts w:ascii="Aptos" w:hAnsi="Aptos"/>
                <w:b w:val="0"/>
                <w:sz w:val="18"/>
              </w:rPr>
              <w:t>2</w:t>
            </w:r>
          </w:p>
        </w:tc>
      </w:tr>
      <w:tr>
        <w:tc>
          <w:tcPr>
            <w:tcW w:type="dxa" w:w="2520"/>
          </w:tcPr>
          <w:p>
            <w:r>
              <w:rPr>
                <w:rFonts w:ascii="Aptos" w:hAnsi="Aptos"/>
                <w:b w:val="0"/>
                <w:sz w:val="18"/>
              </w:rPr>
              <w:t>7</w:t>
            </w:r>
          </w:p>
        </w:tc>
        <w:tc>
          <w:tcPr>
            <w:tcW w:type="dxa" w:w="2520"/>
          </w:tcPr>
          <w:p>
            <w:r>
              <w:rPr>
                <w:rFonts w:ascii="Aptos" w:hAnsi="Aptos"/>
                <w:b w:val="0"/>
                <w:sz w:val="18"/>
              </w:rPr>
              <w:t>Number Theory and Cryptography</w:t>
            </w:r>
          </w:p>
        </w:tc>
        <w:tc>
          <w:tcPr>
            <w:tcW w:type="dxa" w:w="2520"/>
          </w:tcPr>
          <w:p>
            <w:r>
              <w:rPr>
                <w:rFonts w:ascii="Aptos" w:hAnsi="Aptos"/>
                <w:b w:val="0"/>
                <w:sz w:val="18"/>
              </w:rPr>
              <w:t>3-0-0</w:t>
            </w:r>
          </w:p>
        </w:tc>
        <w:tc>
          <w:tcPr>
            <w:tcW w:type="dxa" w:w="2520"/>
          </w:tcPr>
          <w:p>
            <w:r>
              <w:rPr>
                <w:rFonts w:ascii="Aptos" w:hAnsi="Aptos"/>
                <w:b w:val="0"/>
                <w:sz w:val="18"/>
              </w:rPr>
              <w:t>3</w:t>
            </w:r>
          </w:p>
        </w:tc>
      </w:tr>
      <w:tr>
        <w:tc>
          <w:tcPr>
            <w:tcW w:type="dxa" w:w="2520"/>
          </w:tcPr>
          <w:p>
            <w:r>
              <w:rPr>
                <w:rFonts w:ascii="Aptos" w:hAnsi="Aptos"/>
                <w:b w:val="0"/>
                <w:sz w:val="18"/>
              </w:rPr>
              <w:t>Total</w:t>
            </w:r>
          </w:p>
        </w:tc>
        <w:tc>
          <w:tcPr>
            <w:tcW w:type="dxa" w:w="2520"/>
          </w:tcPr>
          <w:p>
            <w:r>
              <w:rPr>
                <w:rFonts w:ascii="Aptos" w:hAnsi="Aptos"/>
                <w:b w:val="0"/>
                <w:sz w:val="18"/>
              </w:rPr>
              <w:t>19</w:t>
            </w:r>
          </w:p>
        </w:tc>
        <w:tc>
          <w:tcPr>
            <w:tcW w:type="dxa" w:w="2520"/>
          </w:tcPr>
          <w:p>
            <w:r>
              <w:rPr>
                <w:rFonts w:ascii="Aptos" w:hAnsi="Aptos"/>
                <w:b w:val="0"/>
                <w:sz w:val="18"/>
              </w:rPr>
            </w:r>
          </w:p>
        </w:tc>
        <w:tc>
          <w:tcPr>
            <w:tcW w:type="dxa" w:w="2520"/>
          </w:tcPr>
          <w:p>
            <w:r>
              <w:rPr>
                <w:rFonts w:ascii="Aptos" w:hAnsi="Aptos"/>
                <w:b w:val="0"/>
                <w:sz w:val="18"/>
              </w:rPr>
            </w:r>
          </w:p>
        </w:tc>
      </w:tr>
    </w:tbl>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https://iitj.ac.in/Office-of-Academics/en/M.Sc.-\(Mathematics\</w:t>
        </w:r>
      </w:hyperlink>
    </w:p>
    <w:p>
      <w:pPr>
        <w:pStyle w:val="ListBullet"/>
      </w:pPr>
      <w:hyperlink r:id="rId11">
        <w:r>
          <w:rPr>
            <w:color w:val="0563C1"/>
            <w:u w:val="single"/>
          </w:rPr>
          <w:t>https://www.iitj.ac.in/PageImages/Gallery/06-2025/M.Tech%20Curriculum_document-2022-07-21-12-37-pm.pdf</w:t>
        </w:r>
      </w:hyperlink>
    </w:p>
    <w:p>
      <w:pPr>
        <w:pStyle w:val="ListBullet"/>
      </w:pPr>
      <w:hyperlink r:id="rId12">
        <w:r>
          <w:rPr>
            <w:color w:val="0563C1"/>
            <w:u w:val="single"/>
          </w:rPr>
          <w:t>https://www.iitj.ac.in/PageImages/Gallery/06-2026/Concept-Note-BS-Mathematics-Computing-639161752393828689.pdf</w:t>
        </w:r>
      </w:hyperlink>
    </w:p>
    <w:p>
      <w:pPr>
        <w:pStyle w:val="ListBullet"/>
      </w:pPr>
      <w:hyperlink r:id="rId13">
        <w:r>
          <w:rPr>
            <w:color w:val="0563C1"/>
            <w:u w:val="single"/>
          </w:rPr>
          <w:t>https://www.iitj.ac.in/mathematics/en/m.sc</w:t>
        </w:r>
      </w:hyperlink>
    </w:p>
    <w:p>
      <w:pPr>
        <w:pStyle w:val="ListBullet"/>
      </w:pPr>
      <w:hyperlink r:id="rId14">
        <w:r>
          <w:rPr>
            <w:color w:val="0563C1"/>
            <w:u w:val="single"/>
          </w:rPr>
          <w:t>https://www.iitj.ac.in/mathematics/en/postgraduate-programs</w:t>
        </w:r>
      </w:hyperlink>
    </w:p>
    <w:p>
      <w:pPr>
        <w:pStyle w:val="ListBullet"/>
      </w:pPr>
      <w:hyperlink r:id="rId15">
        <w:r>
          <w:rPr>
            <w:color w:val="0563C1"/>
            <w:u w:val="single"/>
          </w:rPr>
          <w:t>https://www.iitj.ac.in/mathematics/en/undergraduate-programs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itj.ac.in/Office-of-Academics/en/M.Sc.-\(Mathematics\" TargetMode="External"/><Relationship Id="rId11" Type="http://schemas.openxmlformats.org/officeDocument/2006/relationships/hyperlink" Target="https://www.iitj.ac.in/PageImages/Gallery/06-2025/M.Tech%20Curriculum_document-2022-07-21-12-37-pm.pdf" TargetMode="External"/><Relationship Id="rId12" Type="http://schemas.openxmlformats.org/officeDocument/2006/relationships/hyperlink" Target="https://www.iitj.ac.in/PageImages/Gallery/06-2026/Concept-Note-BS-Mathematics-Computing-639161752393828689.pdf" TargetMode="External"/><Relationship Id="rId13" Type="http://schemas.openxmlformats.org/officeDocument/2006/relationships/hyperlink" Target="https://www.iitj.ac.in/mathematics/en/m.sc" TargetMode="External"/><Relationship Id="rId14" Type="http://schemas.openxmlformats.org/officeDocument/2006/relationships/hyperlink" Target="https://www.iitj.ac.in/mathematics/en/postgraduate-programs" TargetMode="External"/><Relationship Id="rId15" Type="http://schemas.openxmlformats.org/officeDocument/2006/relationships/hyperlink" Target="https://www.iitj.ac.in/mathematics/en/undergraduate-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Mathematics — Programs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