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Registration</w:t>
      </w:r>
    </w:p>
    <w:p>
      <w:r>
        <w:rPr>
          <w:rFonts w:ascii="Aptos" w:hAnsi="Aptos"/>
          <w:b/>
          <w:sz w:val="19"/>
        </w:rPr>
        <w:t>IIT Jodhpur • Office of Academics • Registration</w:t>
      </w:r>
    </w:p>
    <w:p>
      <w:pPr>
        <w:pBdr>
          <w:bottom w:val="single" w:sz="5" w:space="1" w:color="B7C4D6"/>
        </w:pBdr>
      </w:pPr>
    </w:p>
    <w:p>
      <w:pPr>
        <w:pStyle w:val="Heading1"/>
        <w:keepNext/>
      </w:pPr>
      <w:r>
        <w:rPr>
          <w:rFonts w:ascii="Aptos" w:hAnsi="Aptos"/>
          <w:b/>
          <w:sz w:val="32"/>
        </w:rPr>
        <w:t>12.2 Limits on Registration</w:t>
      </w:r>
    </w:p>
    <w:p>
      <w:pPr>
        <w:spacing w:after="100"/>
      </w:pPr>
      <w:r>
        <w:rPr>
          <w:rFonts w:ascii="Aptos" w:hAnsi="Aptos"/>
          <w:sz w:val="21"/>
        </w:rPr>
        <w:t>[ [Back to index] ](https://www.iitj.ac.in/office-of-academics/en/academic-regulations#top12.2%20Limits%20on%20Registration) An undergraduate student should register for a minimum of 12 credits in a semester.The maximum number of credits permitted for a UG student in a semester is 25.An undergraduate student may be permitted to register for a maximum of four credits per semester for independent-study or self-study course</w:t>
      </w:r>
    </w:p>
    <w:p>
      <w:pPr>
        <w:pStyle w:val="Heading1"/>
        <w:keepNext/>
      </w:pPr>
      <w:r>
        <w:rPr>
          <w:rFonts w:ascii="Aptos" w:hAnsi="Aptos"/>
          <w:b/>
          <w:sz w:val="32"/>
        </w:rPr>
        <w:t>12.4 Change of Registration from B. Tech. Programme to B.Tech.- M. Tech. dual degree Programme</w:t>
      </w:r>
    </w:p>
    <w:p>
      <w:pPr>
        <w:spacing w:after="100"/>
      </w:pPr>
      <w:r>
        <w:rPr>
          <w:rFonts w:ascii="Aptos" w:hAnsi="Aptos"/>
          <w:sz w:val="21"/>
        </w:rPr>
        <w:t>[ [Back to index] ](https://www.iitj.ac.in/office-of-academics/en/academic-regulations#top12.4%20Change%20of%20Registration%20from%20B.%20Tech.%20Programme%20to%20B.Tech.-%20M.%20Tech.%20dual%20degree%20Programme) A B.Tech. Student having opted for major/minor specialization with CGPA 6 or more at the end of the seventh semester and fulfilling requirements mentioned earlier may be allowed to switch to B.Tech.- M. Tech. dual degree program in the chosen specialization at the beginning of the eighth semester. The M.Tech degree can be any one of the approved programmes of the institute. All requirements of M.Tech. Degree will be applicable to all such students. All such changes of registration shall be reported to the Senate.</w:t>
      </w:r>
    </w:p>
    <w:p>
      <w:pPr>
        <w:pStyle w:val="Heading1"/>
        <w:keepNext/>
      </w:pPr>
      <w:r>
        <w:rPr>
          <w:rFonts w:ascii="Aptos" w:hAnsi="Aptos"/>
          <w:b/>
          <w:sz w:val="32"/>
        </w:rPr>
        <w:t>3.2 Late Registration</w:t>
      </w:r>
    </w:p>
    <w:p>
      <w:pPr>
        <w:spacing w:after="100"/>
      </w:pPr>
      <w:r>
        <w:rPr>
          <w:rFonts w:ascii="Aptos" w:hAnsi="Aptos"/>
          <w:sz w:val="21"/>
        </w:rPr>
        <w:t>If the student does not register by the date of late registration as mentioned in the Academic Calendar, he/she will be deregistered. The appeal against deregistration may be made to Chairman, Senate through Dean Academics. Chairman Senate may permit the continuation of registration on payment of an appropriate fine.</w:t>
      </w:r>
    </w:p>
    <w:p>
      <w:pPr>
        <w:pStyle w:val="Heading1"/>
        <w:keepNext/>
      </w:pPr>
      <w:r>
        <w:rPr>
          <w:rFonts w:ascii="Aptos" w:hAnsi="Aptos"/>
          <w:b/>
          <w:sz w:val="32"/>
        </w:rPr>
        <w:t>3.1 Provisional Registration</w:t>
      </w:r>
    </w:p>
    <w:p>
      <w:pPr>
        <w:spacing w:after="100"/>
      </w:pPr>
      <w:r>
        <w:rPr>
          <w:rFonts w:ascii="Aptos" w:hAnsi="Aptos"/>
          <w:sz w:val="21"/>
        </w:rPr>
        <w:t>A fresh student joining the Institute, who is awaiting the final results of the qualifying examination, is allowed to register provisionally on submission of a certificate from her/his last Institute stating that she/he has appeared in the final examination of the qualifying degree. The student is required to submit documents of having passed the qualifying examination by the last date given in the Academic Calendar for the registration to be regularized.</w:t>
      </w:r>
    </w:p>
    <w:p>
      <w:pPr>
        <w:pStyle w:val="Heading1"/>
        <w:keepNext/>
      </w:pPr>
      <w:r>
        <w:rPr>
          <w:rFonts w:ascii="Aptos" w:hAnsi="Aptos"/>
          <w:b/>
          <w:sz w:val="32"/>
        </w:rPr>
        <w:t>21.4 Change of Registration from Full-Time to Part-Time/External Ph.D. Programme</w:t>
      </w:r>
    </w:p>
    <w:p>
      <w:pPr>
        <w:spacing w:after="100"/>
      </w:pPr>
      <w:r>
        <w:rPr>
          <w:rFonts w:ascii="Aptos" w:hAnsi="Aptos"/>
          <w:sz w:val="21"/>
        </w:rPr>
        <w:t>[ [Back to index] ](https://www.iitj.ac.in/office-of-academics/en/academic-regulations#top21.4%20Change%20of%20Registration%20from%20Full-Time%20to%20Part-Time/External%20Ph.D.%20Programme) A student admitted to a full-time Ph.D. programme may be permitted to change to a part-time Ph.D. programme. A student requesting such a conversion must:</w:t>
      </w:r>
    </w:p>
    <w:p>
      <w:pPr>
        <w:pStyle w:val="ListBullet"/>
        <w:spacing w:after="40"/>
      </w:pPr>
      <w:r>
        <w:rPr>
          <w:rFonts w:ascii="Aptos" w:hAnsi="Aptos"/>
          <w:sz w:val="20"/>
        </w:rPr>
        <w:t>* have successfully completed his/her candidacy requirement;</w:t>
      </w:r>
    </w:p>
    <w:p>
      <w:pPr>
        <w:pStyle w:val="ListBullet"/>
        <w:spacing w:after="40"/>
      </w:pPr>
      <w:r>
        <w:rPr>
          <w:rFonts w:ascii="Aptos" w:hAnsi="Aptos"/>
          <w:sz w:val="20"/>
        </w:rPr>
        <w:t>get the request endorsed by the supervisor(s) and the DRC;</w:t>
      </w:r>
    </w:p>
    <w:p>
      <w:pPr>
        <w:pStyle w:val="ListBullet"/>
        <w:spacing w:after="40"/>
      </w:pPr>
      <w:r>
        <w:rPr>
          <w:rFonts w:ascii="Aptos" w:hAnsi="Aptos"/>
          <w:sz w:val="20"/>
        </w:rPr>
        <w:t>produce a “No Objection” Certificate from his/her employer for carrying out the research work.</w:t>
      </w:r>
    </w:p>
    <w:p>
      <w:pPr>
        <w:pStyle w:val="Heading1"/>
        <w:keepNext/>
      </w:pPr>
      <w:r>
        <w:rPr>
          <w:rFonts w:ascii="Aptos" w:hAnsi="Aptos"/>
          <w:b/>
          <w:sz w:val="32"/>
        </w:rPr>
        <w:t>21.3 Change of Registration from Part-Time M.Tech. to Part-Time Ph.D. Program</w:t>
      </w:r>
    </w:p>
    <w:p>
      <w:pPr>
        <w:spacing w:after="100"/>
      </w:pPr>
      <w:r>
        <w:rPr>
          <w:rFonts w:ascii="Aptos" w:hAnsi="Aptos"/>
          <w:sz w:val="21"/>
        </w:rPr>
        <w:t>[ [Back to index] ](https://www.iitj.ac.in/office-of-academics/en/academic-regulations#top21.3%20Change%20of%20Registration%20from%20Part-Time%20M.Tech.%20to%20Part-Time%20Ph.D.%20Program) A part-time M.Tech. student having CGPA 8 or more after completion of at least 24 credits may be allowed to change his/her registration to the Ph.D. program. The credits earned will be counted towards his/her Ph.D. course work requirements.</w:t>
      </w:r>
    </w:p>
    <w:p>
      <w:pPr>
        <w:pStyle w:val="Heading1"/>
        <w:keepNext/>
      </w:pPr>
      <w:r>
        <w:rPr>
          <w:rFonts w:ascii="Aptos" w:hAnsi="Aptos"/>
          <w:b/>
          <w:sz w:val="32"/>
        </w:rPr>
        <w:t>3. Registration</w:t>
      </w:r>
    </w:p>
    <w:p>
      <w:pPr>
        <w:spacing w:after="100"/>
      </w:pPr>
      <w:r>
        <w:rPr>
          <w:rFonts w:ascii="Aptos" w:hAnsi="Aptos"/>
          <w:sz w:val="21"/>
        </w:rPr>
        <w:t>[ [Back to index] ](https://www.iitj.ac.in/office-of-academics/en/academic-regulations#top3.%20Registration) 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pPr>
        <w:pStyle w:val="Heading1"/>
        <w:keepNext/>
      </w:pPr>
      <w:r>
        <w:rPr>
          <w:rFonts w:ascii="Aptos" w:hAnsi="Aptos"/>
          <w:b/>
          <w:sz w:val="32"/>
        </w:rPr>
        <w:t>21.1 Limits on Registration</w:t>
      </w:r>
    </w:p>
    <w:p>
      <w:pPr>
        <w:spacing w:after="100"/>
      </w:pPr>
      <w:r>
        <w:rPr>
          <w:rFonts w:ascii="Aptos" w:hAnsi="Aptos"/>
          <w:sz w:val="21"/>
        </w:rPr>
        <w:t>[ [Back to index] ](https://www.iitj.ac.in/office-of-academics/en/academic-regulations#top21.1%20Limits%20on%20Registration) Maximum and minimum number of credits a student can register in different programs:</w:t>
      </w:r>
    </w:p>
    <w:p>
      <w:pPr>
        <w:pStyle w:val="ListBullet"/>
        <w:spacing w:after="40"/>
      </w:pPr>
      <w:r>
        <w:rPr>
          <w:rFonts w:ascii="Aptos" w:hAnsi="Aptos"/>
          <w:sz w:val="20"/>
        </w:rPr>
        <w:t>* M.Sc.: An M.Sc. student can register for a maximum of 24 credits and a minimum of 10 credits in a semester.</w:t>
      </w:r>
    </w:p>
    <w:p>
      <w:pPr>
        <w:pStyle w:val="ListBullet"/>
        <w:spacing w:after="40"/>
      </w:pPr>
      <w:r>
        <w:rPr>
          <w:rFonts w:ascii="Aptos" w:hAnsi="Aptos"/>
          <w:sz w:val="20"/>
        </w:rPr>
        <w:t>M.Tech.: An M.Tech. student can register for maximum and minimum credits as per Table 21.1.</w:t>
      </w:r>
    </w:p>
    <w:p>
      <w:pPr>
        <w:spacing w:after="100"/>
      </w:pPr>
      <w:r>
        <w:rPr>
          <w:rFonts w:ascii="Aptos" w:hAnsi="Aptos"/>
          <w:sz w:val="21"/>
        </w:rPr>
        <w:t>Table 21.1 Maximum and Minimum Credits an M.Tech. student can register for during the Regular semester/Summer Term</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M.Tech. student registered under different categories</w:t>
            </w:r>
          </w:p>
        </w:tc>
        <w:tc>
          <w:tcPr>
            <w:tcW w:type="dxa" w:w="2520"/>
          </w:tcPr>
          <w:p>
            <w:r>
              <w:rPr>
                <w:rFonts w:ascii="Aptos" w:hAnsi="Aptos"/>
                <w:b/>
                <w:sz w:val="18"/>
              </w:rPr>
              <w:t>Maximum Credits</w:t>
            </w:r>
          </w:p>
        </w:tc>
        <w:tc>
          <w:tcPr>
            <w:tcW w:type="dxa" w:w="2520"/>
          </w:tcPr>
          <w:p>
            <w:r>
              <w:rPr>
                <w:rFonts w:ascii="Aptos" w:hAnsi="Aptos"/>
                <w:b/>
                <w:sz w:val="18"/>
              </w:rPr>
              <w:t>Minimum Credits</w:t>
            </w:r>
          </w:p>
        </w:tc>
        <w:tc>
          <w:tcPr>
            <w:tcW w:type="dxa" w:w="2520"/>
          </w:tcPr>
          <w:p>
            <w:r>
              <w:rPr>
                <w:rFonts w:ascii="Aptos" w:hAnsi="Aptos"/>
                <w:b/>
                <w:sz w:val="18"/>
              </w:rPr>
            </w:r>
          </w:p>
        </w:tc>
      </w:tr>
      <w:tr>
        <w:tc>
          <w:tcPr>
            <w:tcW w:type="dxa" w:w="2520"/>
          </w:tcPr>
          <w:p>
            <w:r>
              <w:rPr>
                <w:rFonts w:ascii="Aptos" w:hAnsi="Aptos"/>
                <w:b w:val="0"/>
                <w:sz w:val="18"/>
              </w:rPr>
              <w:t>Regular Semester</w:t>
            </w:r>
          </w:p>
        </w:tc>
        <w:tc>
          <w:tcPr>
            <w:tcW w:type="dxa" w:w="2520"/>
          </w:tcPr>
          <w:p>
            <w:r>
              <w:rPr>
                <w:rFonts w:ascii="Aptos" w:hAnsi="Aptos"/>
                <w:b w:val="0"/>
                <w:sz w:val="18"/>
              </w:rPr>
              <w:t>Executive (Accelerated)</w:t>
            </w:r>
          </w:p>
        </w:tc>
        <w:tc>
          <w:tcPr>
            <w:tcW w:type="dxa" w:w="2520"/>
          </w:tcPr>
          <w:p>
            <w:r>
              <w:rPr>
                <w:rFonts w:ascii="Aptos" w:hAnsi="Aptos"/>
                <w:b w:val="0"/>
                <w:sz w:val="18"/>
              </w:rPr>
              <w:t>24</w:t>
            </w:r>
          </w:p>
        </w:tc>
        <w:tc>
          <w:tcPr>
            <w:tcW w:type="dxa" w:w="2520"/>
          </w:tcPr>
          <w:p>
            <w:r>
              <w:rPr>
                <w:rFonts w:ascii="Aptos" w:hAnsi="Aptos"/>
                <w:b w:val="0"/>
                <w:sz w:val="18"/>
              </w:rPr>
              <w:t>10</w:t>
            </w:r>
          </w:p>
        </w:tc>
      </w:tr>
      <w:tr>
        <w:tc>
          <w:tcPr>
            <w:tcW w:type="dxa" w:w="2520"/>
          </w:tcPr>
          <w:p>
            <w:r>
              <w:rPr>
                <w:rFonts w:ascii="Aptos" w:hAnsi="Aptos"/>
                <w:b w:val="0"/>
                <w:sz w:val="18"/>
              </w:rPr>
              <w:t>Executive (Normal)</w:t>
            </w:r>
          </w:p>
        </w:tc>
        <w:tc>
          <w:tcPr>
            <w:tcW w:type="dxa" w:w="2520"/>
          </w:tcPr>
          <w:p>
            <w:r>
              <w:rPr>
                <w:rFonts w:ascii="Aptos" w:hAnsi="Aptos"/>
                <w:b w:val="0"/>
                <w:sz w:val="18"/>
              </w:rPr>
              <w:t>17</w:t>
            </w:r>
          </w:p>
        </w:tc>
        <w:tc>
          <w:tcPr>
            <w:tcW w:type="dxa" w:w="2520"/>
          </w:tcPr>
          <w:p>
            <w:r>
              <w:rPr>
                <w:rFonts w:ascii="Aptos" w:hAnsi="Aptos"/>
                <w:b w:val="0"/>
                <w:sz w:val="18"/>
              </w:rPr>
              <w:t>10</w:t>
            </w:r>
          </w:p>
        </w:tc>
        <w:tc>
          <w:tcPr>
            <w:tcW w:type="dxa" w:w="2520"/>
          </w:tcPr>
          <w:p>
            <w:r>
              <w:rPr>
                <w:rFonts w:ascii="Aptos" w:hAnsi="Aptos"/>
                <w:b w:val="0"/>
                <w:sz w:val="18"/>
              </w:rPr>
            </w:r>
          </w:p>
        </w:tc>
      </w:tr>
      <w:tr>
        <w:tc>
          <w:tcPr>
            <w:tcW w:type="dxa" w:w="2520"/>
          </w:tcPr>
          <w:p>
            <w:r>
              <w:rPr>
                <w:rFonts w:ascii="Aptos" w:hAnsi="Aptos"/>
                <w:b w:val="0"/>
                <w:sz w:val="18"/>
              </w:rPr>
              <w:t>Executive (Slow-Paced)</w:t>
            </w:r>
          </w:p>
        </w:tc>
        <w:tc>
          <w:tcPr>
            <w:tcW w:type="dxa" w:w="2520"/>
          </w:tcPr>
          <w:p>
            <w:r>
              <w:rPr>
                <w:rFonts w:ascii="Aptos" w:hAnsi="Aptos"/>
                <w:b w:val="0"/>
                <w:sz w:val="18"/>
              </w:rPr>
              <w:t>12</w:t>
            </w:r>
          </w:p>
        </w:tc>
        <w:tc>
          <w:tcPr>
            <w:tcW w:type="dxa" w:w="2520"/>
          </w:tcPr>
          <w:p>
            <w:r>
              <w:rPr>
                <w:rFonts w:ascii="Aptos" w:hAnsi="Aptos"/>
                <w:b w:val="0"/>
                <w:sz w:val="18"/>
              </w:rPr>
              <w:t>3</w:t>
            </w:r>
          </w:p>
        </w:tc>
        <w:tc>
          <w:tcPr>
            <w:tcW w:type="dxa" w:w="2520"/>
          </w:tcPr>
          <w:p>
            <w:r>
              <w:rPr>
                <w:rFonts w:ascii="Aptos" w:hAnsi="Aptos"/>
                <w:b w:val="0"/>
                <w:sz w:val="18"/>
              </w:rPr>
            </w:r>
          </w:p>
        </w:tc>
      </w:tr>
      <w:tr>
        <w:tc>
          <w:tcPr>
            <w:tcW w:type="dxa" w:w="2520"/>
          </w:tcPr>
          <w:p>
            <w:r>
              <w:rPr>
                <w:rFonts w:ascii="Aptos" w:hAnsi="Aptos"/>
                <w:b w:val="0"/>
                <w:sz w:val="18"/>
              </w:rPr>
              <w:t>Executive (Part-Time)</w:t>
            </w:r>
          </w:p>
        </w:tc>
        <w:tc>
          <w:tcPr>
            <w:tcW w:type="dxa" w:w="2520"/>
          </w:tcPr>
          <w:p>
            <w:r>
              <w:rPr>
                <w:rFonts w:ascii="Aptos" w:hAnsi="Aptos"/>
                <w:b w:val="0"/>
                <w:sz w:val="18"/>
              </w:rPr>
              <w:t>12</w:t>
            </w:r>
          </w:p>
        </w:tc>
        <w:tc>
          <w:tcPr>
            <w:tcW w:type="dxa" w:w="2520"/>
          </w:tcPr>
          <w:p>
            <w:r>
              <w:rPr>
                <w:rFonts w:ascii="Aptos" w:hAnsi="Aptos"/>
                <w:b w:val="0"/>
                <w:sz w:val="18"/>
              </w:rPr>
              <w:t>3</w:t>
            </w:r>
          </w:p>
        </w:tc>
        <w:tc>
          <w:tcPr>
            <w:tcW w:type="dxa" w:w="2520"/>
          </w:tcPr>
          <w:p>
            <w:r>
              <w:rPr>
                <w:rFonts w:ascii="Aptos" w:hAnsi="Aptos"/>
                <w:b w:val="0"/>
                <w:sz w:val="18"/>
              </w:rPr>
            </w:r>
          </w:p>
        </w:tc>
      </w:tr>
      <w:tr>
        <w:tc>
          <w:tcPr>
            <w:tcW w:type="dxa" w:w="2520"/>
          </w:tcPr>
          <w:p>
            <w:r>
              <w:rPr>
                <w:rFonts w:ascii="Aptos" w:hAnsi="Aptos"/>
                <w:b w:val="0"/>
                <w:sz w:val="18"/>
              </w:rPr>
              <w:t>Full-time (Regular/Sponsored)</w:t>
            </w:r>
          </w:p>
        </w:tc>
        <w:tc>
          <w:tcPr>
            <w:tcW w:type="dxa" w:w="2520"/>
          </w:tcPr>
          <w:p>
            <w:r>
              <w:rPr>
                <w:rFonts w:ascii="Aptos" w:hAnsi="Aptos"/>
                <w:b w:val="0"/>
                <w:sz w:val="18"/>
              </w:rPr>
              <w:t>17</w:t>
            </w:r>
          </w:p>
        </w:tc>
        <w:tc>
          <w:tcPr>
            <w:tcW w:type="dxa" w:w="2520"/>
          </w:tcPr>
          <w:p>
            <w:r>
              <w:rPr>
                <w:rFonts w:ascii="Aptos" w:hAnsi="Aptos"/>
                <w:b w:val="0"/>
                <w:sz w:val="18"/>
              </w:rPr>
              <w:t>10</w:t>
            </w:r>
          </w:p>
        </w:tc>
        <w:tc>
          <w:tcPr>
            <w:tcW w:type="dxa" w:w="2520"/>
          </w:tcPr>
          <w:p>
            <w:r>
              <w:rPr>
                <w:rFonts w:ascii="Aptos" w:hAnsi="Aptos"/>
                <w:b w:val="0"/>
                <w:sz w:val="18"/>
              </w:rPr>
            </w:r>
          </w:p>
        </w:tc>
      </w:tr>
      <w:tr>
        <w:tc>
          <w:tcPr>
            <w:tcW w:type="dxa" w:w="2520"/>
          </w:tcPr>
          <w:p>
            <w:r>
              <w:rPr>
                <w:rFonts w:ascii="Aptos" w:hAnsi="Aptos"/>
                <w:b w:val="0"/>
                <w:sz w:val="18"/>
              </w:rPr>
              <w:t>External</w:t>
            </w:r>
          </w:p>
        </w:tc>
        <w:tc>
          <w:tcPr>
            <w:tcW w:type="dxa" w:w="2520"/>
          </w:tcPr>
          <w:p>
            <w:r>
              <w:rPr>
                <w:rFonts w:ascii="Aptos" w:hAnsi="Aptos"/>
                <w:b w:val="0"/>
                <w:sz w:val="18"/>
              </w:rPr>
              <w:t>20</w:t>
            </w:r>
          </w:p>
        </w:tc>
        <w:tc>
          <w:tcPr>
            <w:tcW w:type="dxa" w:w="2520"/>
          </w:tcPr>
          <w:p>
            <w:r>
              <w:rPr>
                <w:rFonts w:ascii="Aptos" w:hAnsi="Aptos"/>
                <w:b w:val="0"/>
                <w:sz w:val="18"/>
              </w:rPr>
              <w:t>10</w:t>
            </w:r>
          </w:p>
        </w:tc>
        <w:tc>
          <w:tcPr>
            <w:tcW w:type="dxa" w:w="2520"/>
          </w:tcPr>
          <w:p>
            <w:r>
              <w:rPr>
                <w:rFonts w:ascii="Aptos" w:hAnsi="Aptos"/>
                <w:b w:val="0"/>
                <w:sz w:val="18"/>
              </w:rPr>
            </w:r>
          </w:p>
        </w:tc>
      </w:tr>
      <w:tr>
        <w:tc>
          <w:tcPr>
            <w:tcW w:type="dxa" w:w="2520"/>
          </w:tcPr>
          <w:p>
            <w:r>
              <w:rPr>
                <w:rFonts w:ascii="Aptos" w:hAnsi="Aptos"/>
                <w:b w:val="0"/>
                <w:sz w:val="18"/>
              </w:rPr>
              <w:t>Part-time</w:t>
            </w:r>
          </w:p>
        </w:tc>
        <w:tc>
          <w:tcPr>
            <w:tcW w:type="dxa" w:w="2520"/>
          </w:tcPr>
          <w:p>
            <w:r>
              <w:rPr>
                <w:rFonts w:ascii="Aptos" w:hAnsi="Aptos"/>
                <w:b w:val="0"/>
                <w:sz w:val="18"/>
              </w:rPr>
              <w:t>12</w:t>
            </w:r>
          </w:p>
        </w:tc>
        <w:tc>
          <w:tcPr>
            <w:tcW w:type="dxa" w:w="2520"/>
          </w:tcPr>
          <w:p>
            <w:r>
              <w:rPr>
                <w:rFonts w:ascii="Aptos" w:hAnsi="Aptos"/>
                <w:b w:val="0"/>
                <w:sz w:val="18"/>
              </w:rPr>
              <w:t>3</w:t>
            </w:r>
          </w:p>
        </w:tc>
        <w:tc>
          <w:tcPr>
            <w:tcW w:type="dxa" w:w="2520"/>
          </w:tcPr>
          <w:p>
            <w:r>
              <w:rPr>
                <w:rFonts w:ascii="Aptos" w:hAnsi="Aptos"/>
                <w:b w:val="0"/>
                <w:sz w:val="18"/>
              </w:rPr>
            </w:r>
          </w:p>
        </w:tc>
      </w:tr>
      <w:tr>
        <w:tc>
          <w:tcPr>
            <w:tcW w:type="dxa" w:w="2520"/>
          </w:tcPr>
          <w:p>
            <w:r>
              <w:rPr>
                <w:rFonts w:ascii="Aptos" w:hAnsi="Aptos"/>
                <w:b w:val="0"/>
                <w:sz w:val="18"/>
              </w:rPr>
              <w:t>Summer Term</w:t>
            </w:r>
          </w:p>
        </w:tc>
        <w:tc>
          <w:tcPr>
            <w:tcW w:type="dxa" w:w="2520"/>
          </w:tcPr>
          <w:p>
            <w:r>
              <w:rPr>
                <w:rFonts w:ascii="Aptos" w:hAnsi="Aptos"/>
                <w:b w:val="0"/>
                <w:sz w:val="18"/>
              </w:rPr>
              <w:t>Executive (Accelerated)</w:t>
            </w:r>
          </w:p>
        </w:tc>
        <w:tc>
          <w:tcPr>
            <w:tcW w:type="dxa" w:w="2520"/>
          </w:tcPr>
          <w:p>
            <w:r>
              <w:rPr>
                <w:rFonts w:ascii="Aptos" w:hAnsi="Aptos"/>
                <w:b w:val="0"/>
                <w:sz w:val="18"/>
              </w:rPr>
              <w:t>16</w:t>
            </w:r>
          </w:p>
        </w:tc>
        <w:tc>
          <w:tcPr>
            <w:tcW w:type="dxa" w:w="2520"/>
          </w:tcPr>
          <w:p>
            <w:r>
              <w:rPr>
                <w:rFonts w:ascii="Aptos" w:hAnsi="Aptos"/>
                <w:b w:val="0"/>
                <w:sz w:val="18"/>
              </w:rPr>
              <w:t>0</w:t>
            </w:r>
          </w:p>
        </w:tc>
      </w:tr>
      <w:tr>
        <w:tc>
          <w:tcPr>
            <w:tcW w:type="dxa" w:w="2520"/>
          </w:tcPr>
          <w:p>
            <w:r>
              <w:rPr>
                <w:rFonts w:ascii="Aptos" w:hAnsi="Aptos"/>
                <w:b w:val="0"/>
                <w:sz w:val="18"/>
              </w:rPr>
              <w:t>Executive (Normal)</w:t>
            </w:r>
          </w:p>
        </w:tc>
        <w:tc>
          <w:tcPr>
            <w:tcW w:type="dxa" w:w="2520"/>
          </w:tcPr>
          <w:p>
            <w:r>
              <w:rPr>
                <w:rFonts w:ascii="Aptos" w:hAnsi="Aptos"/>
                <w:b w:val="0"/>
                <w:sz w:val="18"/>
              </w:rPr>
              <w:t>9</w:t>
            </w:r>
          </w:p>
        </w:tc>
        <w:tc>
          <w:tcPr>
            <w:tcW w:type="dxa" w:w="2520"/>
          </w:tcPr>
          <w:p>
            <w:r>
              <w:rPr>
                <w:rFonts w:ascii="Aptos" w:hAnsi="Aptos"/>
                <w:b w:val="0"/>
                <w:sz w:val="18"/>
              </w:rPr>
              <w:t>0</w:t>
            </w:r>
          </w:p>
        </w:tc>
        <w:tc>
          <w:tcPr>
            <w:tcW w:type="dxa" w:w="2520"/>
          </w:tcPr>
          <w:p>
            <w:r>
              <w:rPr>
                <w:rFonts w:ascii="Aptos" w:hAnsi="Aptos"/>
                <w:b w:val="0"/>
                <w:sz w:val="18"/>
              </w:rPr>
            </w:r>
          </w:p>
        </w:tc>
      </w:tr>
      <w:tr>
        <w:tc>
          <w:tcPr>
            <w:tcW w:type="dxa" w:w="2520"/>
          </w:tcPr>
          <w:p>
            <w:r>
              <w:rPr>
                <w:rFonts w:ascii="Aptos" w:hAnsi="Aptos"/>
                <w:b w:val="0"/>
                <w:sz w:val="18"/>
              </w:rPr>
              <w:t>Executive (Slow-Paced)</w:t>
            </w:r>
          </w:p>
        </w:tc>
        <w:tc>
          <w:tcPr>
            <w:tcW w:type="dxa" w:w="2520"/>
          </w:tcPr>
          <w:p>
            <w:r>
              <w:rPr>
                <w:rFonts w:ascii="Aptos" w:hAnsi="Aptos"/>
                <w:b w:val="0"/>
                <w:sz w:val="18"/>
              </w:rPr>
              <w:t>6</w:t>
            </w:r>
          </w:p>
        </w:tc>
        <w:tc>
          <w:tcPr>
            <w:tcW w:type="dxa" w:w="2520"/>
          </w:tcPr>
          <w:p>
            <w:r>
              <w:rPr>
                <w:rFonts w:ascii="Aptos" w:hAnsi="Aptos"/>
                <w:b w:val="0"/>
                <w:sz w:val="18"/>
              </w:rPr>
              <w:t>0</w:t>
            </w:r>
          </w:p>
        </w:tc>
        <w:tc>
          <w:tcPr>
            <w:tcW w:type="dxa" w:w="2520"/>
          </w:tcPr>
          <w:p>
            <w:r>
              <w:rPr>
                <w:rFonts w:ascii="Aptos" w:hAnsi="Aptos"/>
                <w:b w:val="0"/>
                <w:sz w:val="18"/>
              </w:rPr>
            </w:r>
          </w:p>
        </w:tc>
      </w:tr>
      <w:tr>
        <w:tc>
          <w:tcPr>
            <w:tcW w:type="dxa" w:w="2520"/>
          </w:tcPr>
          <w:p>
            <w:r>
              <w:rPr>
                <w:rFonts w:ascii="Aptos" w:hAnsi="Aptos"/>
                <w:b w:val="0"/>
                <w:sz w:val="18"/>
              </w:rPr>
              <w:t>Full-time (Regular)</w:t>
            </w:r>
          </w:p>
        </w:tc>
        <w:tc>
          <w:tcPr>
            <w:tcW w:type="dxa" w:w="2520"/>
          </w:tcPr>
          <w:p>
            <w:r>
              <w:rPr>
                <w:rFonts w:ascii="Aptos" w:hAnsi="Aptos"/>
                <w:b w:val="0"/>
                <w:sz w:val="18"/>
              </w:rPr>
              <w:t>9</w:t>
            </w:r>
          </w:p>
        </w:tc>
        <w:tc>
          <w:tcPr>
            <w:tcW w:type="dxa" w:w="2520"/>
          </w:tcPr>
          <w:p>
            <w:r>
              <w:rPr>
                <w:rFonts w:ascii="Aptos" w:hAnsi="Aptos"/>
                <w:b w:val="0"/>
                <w:sz w:val="18"/>
              </w:rPr>
              <w:t>5</w:t>
            </w:r>
          </w:p>
        </w:tc>
        <w:tc>
          <w:tcPr>
            <w:tcW w:type="dxa" w:w="2520"/>
          </w:tcPr>
          <w:p>
            <w:r>
              <w:rPr>
                <w:rFonts w:ascii="Aptos" w:hAnsi="Aptos"/>
                <w:b w:val="0"/>
                <w:sz w:val="18"/>
              </w:rPr>
            </w:r>
          </w:p>
        </w:tc>
      </w:tr>
      <w:tr>
        <w:tc>
          <w:tcPr>
            <w:tcW w:type="dxa" w:w="2520"/>
          </w:tcPr>
          <w:p>
            <w:r>
              <w:rPr>
                <w:rFonts w:ascii="Aptos" w:hAnsi="Aptos"/>
                <w:b w:val="0"/>
                <w:sz w:val="18"/>
              </w:rPr>
              <w:t>Full-time (Sponsored)</w:t>
            </w:r>
          </w:p>
        </w:tc>
        <w:tc>
          <w:tcPr>
            <w:tcW w:type="dxa" w:w="2520"/>
          </w:tcPr>
          <w:p>
            <w:r>
              <w:rPr>
                <w:rFonts w:ascii="Aptos" w:hAnsi="Aptos"/>
                <w:b w:val="0"/>
                <w:sz w:val="18"/>
              </w:rPr>
              <w:t>9</w:t>
            </w:r>
          </w:p>
        </w:tc>
        <w:tc>
          <w:tcPr>
            <w:tcW w:type="dxa" w:w="2520"/>
          </w:tcPr>
          <w:p>
            <w:r>
              <w:rPr>
                <w:rFonts w:ascii="Aptos" w:hAnsi="Aptos"/>
                <w:b w:val="0"/>
                <w:sz w:val="18"/>
              </w:rPr>
              <w:t>0</w:t>
            </w:r>
          </w:p>
        </w:tc>
        <w:tc>
          <w:tcPr>
            <w:tcW w:type="dxa" w:w="2520"/>
          </w:tcPr>
          <w:p>
            <w:r>
              <w:rPr>
                <w:rFonts w:ascii="Aptos" w:hAnsi="Aptos"/>
                <w:b w:val="0"/>
                <w:sz w:val="18"/>
              </w:rPr>
            </w:r>
          </w:p>
        </w:tc>
      </w:tr>
      <w:tr>
        <w:tc>
          <w:tcPr>
            <w:tcW w:type="dxa" w:w="2520"/>
          </w:tcPr>
          <w:p>
            <w:r>
              <w:rPr>
                <w:rFonts w:ascii="Aptos" w:hAnsi="Aptos"/>
                <w:b w:val="0"/>
                <w:sz w:val="18"/>
              </w:rPr>
              <w:t>External</w:t>
            </w:r>
          </w:p>
        </w:tc>
        <w:tc>
          <w:tcPr>
            <w:tcW w:type="dxa" w:w="2520"/>
          </w:tcPr>
          <w:p>
            <w:r>
              <w:rPr>
                <w:rFonts w:ascii="Aptos" w:hAnsi="Aptos"/>
                <w:b w:val="0"/>
                <w:sz w:val="18"/>
              </w:rPr>
              <w:t>9</w:t>
            </w:r>
          </w:p>
        </w:tc>
        <w:tc>
          <w:tcPr>
            <w:tcW w:type="dxa" w:w="2520"/>
          </w:tcPr>
          <w:p>
            <w:r>
              <w:rPr>
                <w:rFonts w:ascii="Aptos" w:hAnsi="Aptos"/>
                <w:b w:val="0"/>
                <w:sz w:val="18"/>
              </w:rPr>
              <w:t>0</w:t>
            </w:r>
          </w:p>
        </w:tc>
        <w:tc>
          <w:tcPr>
            <w:tcW w:type="dxa" w:w="2520"/>
          </w:tcPr>
          <w:p>
            <w:r>
              <w:rPr>
                <w:rFonts w:ascii="Aptos" w:hAnsi="Aptos"/>
                <w:b w:val="0"/>
                <w:sz w:val="18"/>
              </w:rPr>
            </w:r>
          </w:p>
        </w:tc>
      </w:tr>
      <w:tr>
        <w:tc>
          <w:tcPr>
            <w:tcW w:type="dxa" w:w="2520"/>
          </w:tcPr>
          <w:p>
            <w:r>
              <w:rPr>
                <w:rFonts w:ascii="Aptos" w:hAnsi="Aptos"/>
                <w:b w:val="0"/>
                <w:sz w:val="18"/>
              </w:rPr>
              <w:t>Part-time</w:t>
            </w:r>
          </w:p>
        </w:tc>
        <w:tc>
          <w:tcPr>
            <w:tcW w:type="dxa" w:w="2520"/>
          </w:tcPr>
          <w:p>
            <w:r>
              <w:rPr>
                <w:rFonts w:ascii="Aptos" w:hAnsi="Aptos"/>
                <w:b w:val="0"/>
                <w:sz w:val="18"/>
              </w:rPr>
              <w:t>6</w:t>
            </w:r>
          </w:p>
        </w:tc>
        <w:tc>
          <w:tcPr>
            <w:tcW w:type="dxa" w:w="2520"/>
          </w:tcPr>
          <w:p>
            <w:r>
              <w:rPr>
                <w:rFonts w:ascii="Aptos" w:hAnsi="Aptos"/>
                <w:b w:val="0"/>
                <w:sz w:val="18"/>
              </w:rPr>
              <w:t>0</w:t>
            </w:r>
          </w:p>
        </w:tc>
        <w:tc>
          <w:tcPr>
            <w:tcW w:type="dxa" w:w="2520"/>
          </w:tcPr>
          <w:p>
            <w:r>
              <w:rPr>
                <w:rFonts w:ascii="Aptos" w:hAnsi="Aptos"/>
                <w:b w:val="0"/>
                <w:sz w:val="18"/>
              </w:rPr>
            </w:r>
          </w:p>
        </w:tc>
      </w:tr>
    </w:tbl>
    <w:p/>
    <w:p>
      <w:pPr>
        <w:pStyle w:val="ListBullet"/>
        <w:spacing w:after="40"/>
      </w:pPr>
      <w:r>
        <w:rPr>
          <w:rFonts w:ascii="Aptos" w:hAnsi="Aptos"/>
          <w:sz w:val="20"/>
        </w:rPr>
        <w:t>Maximum and Minimum Credits an M.Tech. student can register for during the Regular semester/Summer Term[Insert TableTable 21.1 Maximum and Minimum Credits an M.Tech. student can register for during the Regular semester/Summer Term]</w:t>
      </w:r>
    </w:p>
    <w:p>
      <w:pPr>
        <w:pStyle w:val="ListBullet"/>
        <w:spacing w:after="40"/>
      </w:pPr>
      <w:r>
        <w:rPr>
          <w:rFonts w:ascii="Aptos" w:hAnsi="Aptos"/>
          <w:sz w:val="20"/>
        </w:rPr>
        <w:t>* M.Tech.-Ph.D. dual degree/Direct Ph.D. (Joining after B.Tech.) – The maximum and minimum credits that an M.Tech.-Ph.D. dual degree student can register are equivalent to that of an M.Tech. (Regular/External/Part-time) student.</w:t>
      </w:r>
    </w:p>
    <w:p>
      <w:pPr>
        <w:pStyle w:val="ListBullet"/>
        <w:spacing w:after="40"/>
      </w:pPr>
      <w:r>
        <w:rPr>
          <w:rFonts w:ascii="Aptos" w:hAnsi="Aptos"/>
          <w:sz w:val="20"/>
        </w:rPr>
        <w:t>Ph.D.: A Ph.D. student can register for maximum and minimum credits as per Table 21.2.</w:t>
      </w:r>
    </w:p>
    <w:p>
      <w:pPr>
        <w:spacing w:after="100"/>
      </w:pPr>
      <w:r>
        <w:rPr>
          <w:rFonts w:ascii="Aptos" w:hAnsi="Aptos"/>
          <w:sz w:val="21"/>
        </w:rPr>
        <w:t>Table 21.2 Maximum and Minimum Credits a Ph.D. student (Regular) can register for during the Regular semester</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Ph.D. student registered under different categories</w:t>
            </w:r>
          </w:p>
        </w:tc>
        <w:tc>
          <w:tcPr>
            <w:tcW w:type="dxa" w:w="3360"/>
          </w:tcPr>
          <w:p>
            <w:r>
              <w:rPr>
                <w:rFonts w:ascii="Aptos" w:hAnsi="Aptos"/>
                <w:b/>
                <w:sz w:val="18"/>
              </w:rPr>
              <w:t>Maximum Credits</w:t>
            </w:r>
          </w:p>
        </w:tc>
        <w:tc>
          <w:tcPr>
            <w:tcW w:type="dxa" w:w="3360"/>
          </w:tcPr>
          <w:p>
            <w:r>
              <w:rPr>
                <w:rFonts w:ascii="Aptos" w:hAnsi="Aptos"/>
                <w:b/>
                <w:sz w:val="18"/>
              </w:rPr>
              <w:t>Minimum Credits</w:t>
            </w:r>
          </w:p>
        </w:tc>
      </w:tr>
      <w:tr>
        <w:tc>
          <w:tcPr>
            <w:tcW w:type="dxa" w:w="3360"/>
          </w:tcPr>
          <w:p>
            <w:r>
              <w:rPr>
                <w:rFonts w:ascii="Aptos" w:hAnsi="Aptos"/>
                <w:b w:val="0"/>
                <w:sz w:val="18"/>
              </w:rPr>
              <w:t>Full-time Regular</w:t>
            </w:r>
          </w:p>
        </w:tc>
        <w:tc>
          <w:tcPr>
            <w:tcW w:type="dxa" w:w="3360"/>
          </w:tcPr>
          <w:p>
            <w:r>
              <w:rPr>
                <w:rFonts w:ascii="Aptos" w:hAnsi="Aptos"/>
                <w:b w:val="0"/>
                <w:sz w:val="18"/>
              </w:rPr>
              <w:t>12</w:t>
            </w:r>
          </w:p>
        </w:tc>
        <w:tc>
          <w:tcPr>
            <w:tcW w:type="dxa" w:w="3360"/>
          </w:tcPr>
          <w:p>
            <w:r>
              <w:rPr>
                <w:rFonts w:ascii="Aptos" w:hAnsi="Aptos"/>
                <w:b w:val="0"/>
                <w:sz w:val="18"/>
              </w:rPr>
              <w:t>6</w:t>
            </w:r>
          </w:p>
        </w:tc>
      </w:tr>
      <w:tr>
        <w:tc>
          <w:tcPr>
            <w:tcW w:type="dxa" w:w="3360"/>
          </w:tcPr>
          <w:p>
            <w:r>
              <w:rPr>
                <w:rFonts w:ascii="Aptos" w:hAnsi="Aptos"/>
                <w:b w:val="0"/>
                <w:sz w:val="18"/>
              </w:rPr>
              <w:t>External</w:t>
            </w:r>
          </w:p>
        </w:tc>
        <w:tc>
          <w:tcPr>
            <w:tcW w:type="dxa" w:w="3360"/>
          </w:tcPr>
          <w:p>
            <w:r>
              <w:rPr>
                <w:rFonts w:ascii="Aptos" w:hAnsi="Aptos"/>
                <w:b w:val="0"/>
                <w:sz w:val="18"/>
              </w:rPr>
              <w:t>12</w:t>
            </w:r>
          </w:p>
        </w:tc>
        <w:tc>
          <w:tcPr>
            <w:tcW w:type="dxa" w:w="3360"/>
          </w:tcPr>
          <w:p>
            <w:r>
              <w:rPr>
                <w:rFonts w:ascii="Aptos" w:hAnsi="Aptos"/>
                <w:b w:val="0"/>
                <w:sz w:val="18"/>
              </w:rPr>
              <w:t>6</w:t>
            </w:r>
          </w:p>
        </w:tc>
      </w:tr>
      <w:tr>
        <w:tc>
          <w:tcPr>
            <w:tcW w:type="dxa" w:w="3360"/>
          </w:tcPr>
          <w:p>
            <w:r>
              <w:rPr>
                <w:rFonts w:ascii="Aptos" w:hAnsi="Aptos"/>
                <w:b w:val="0"/>
                <w:sz w:val="18"/>
              </w:rPr>
              <w:t>Part-Time</w:t>
            </w:r>
          </w:p>
        </w:tc>
        <w:tc>
          <w:tcPr>
            <w:tcW w:type="dxa" w:w="3360"/>
          </w:tcPr>
          <w:p>
            <w:r>
              <w:rPr>
                <w:rFonts w:ascii="Aptos" w:hAnsi="Aptos"/>
                <w:b w:val="0"/>
                <w:sz w:val="18"/>
              </w:rPr>
              <w:t>12</w:t>
            </w:r>
          </w:p>
        </w:tc>
        <w:tc>
          <w:tcPr>
            <w:tcW w:type="dxa" w:w="3360"/>
          </w:tcPr>
          <w:p>
            <w:r>
              <w:rPr>
                <w:rFonts w:ascii="Aptos" w:hAnsi="Aptos"/>
                <w:b w:val="0"/>
                <w:sz w:val="18"/>
              </w:rPr>
              <w:t>3</w:t>
            </w:r>
          </w:p>
        </w:tc>
      </w:tr>
    </w:tbl>
    <w:p/>
    <w:p>
      <w:pPr>
        <w:pStyle w:val="Heading1"/>
        <w:keepNext/>
      </w:pPr>
      <w:r>
        <w:rPr>
          <w:rFonts w:ascii="Aptos" w:hAnsi="Aptos"/>
          <w:b/>
          <w:sz w:val="32"/>
        </w:rPr>
        <w:t>26.8 Cancellation of Registration</w:t>
      </w:r>
    </w:p>
    <w:p>
      <w:pPr>
        <w:spacing w:after="100"/>
      </w:pPr>
      <w:r>
        <w:rPr>
          <w:rFonts w:ascii="Aptos" w:hAnsi="Aptos"/>
          <w:sz w:val="21"/>
        </w:rPr>
        <w:t>[ [Back to index] ](https://www.iitj.ac.in/office-of-academics/en/academic-regulations#top26.8%20Cancellation%20of%20Registration)</w:t>
      </w:r>
    </w:p>
    <w:p>
      <w:pPr>
        <w:pStyle w:val="ListBullet"/>
        <w:spacing w:after="40"/>
      </w:pPr>
      <w:r>
        <w:rPr>
          <w:rFonts w:ascii="Aptos" w:hAnsi="Aptos"/>
          <w:sz w:val="20"/>
        </w:rPr>
        <w:t>* The registration of a student whose progress is not found to be satisfactory by the SRC or who has not enrolled will be liable for cancellation.</w:t>
      </w:r>
    </w:p>
    <w:p>
      <w:pPr>
        <w:pStyle w:val="ListBullet"/>
        <w:spacing w:after="40"/>
      </w:pPr>
      <w:r>
        <w:rPr>
          <w:rFonts w:ascii="Aptos" w:hAnsi="Aptos"/>
          <w:sz w:val="20"/>
        </w:rPr>
        <w:t>The registration of a student who has not submitted his/her thesis before the end of the maximum permissible period specified in Section 21.5 will be liable for cancellation.</w:t>
      </w:r>
    </w:p>
    <w:p>
      <w:pPr>
        <w:pStyle w:val="Heading1"/>
        <w:keepNext/>
      </w:pPr>
      <w:r>
        <w:rPr>
          <w:rFonts w:ascii="Aptos" w:hAnsi="Aptos"/>
          <w:b/>
          <w:sz w:val="32"/>
        </w:rPr>
        <w:t>3.5 Cancellation of Semester Registration</w:t>
      </w:r>
    </w:p>
    <w:p>
      <w:pPr>
        <w:spacing w:after="100"/>
      </w:pPr>
      <w:r>
        <w:rPr>
          <w:rFonts w:ascii="Aptos" w:hAnsi="Aptos"/>
          <w:sz w:val="21"/>
        </w:rPr>
        <w:t>Absence for a period of four or more weeksDuring a semester shall result in automatic cancellation of the registration of a student from allthe courses in that semester.</w:t>
      </w:r>
    </w:p>
    <w:p>
      <w:pPr>
        <w:pStyle w:val="Heading1"/>
        <w:keepNext/>
      </w:pPr>
      <w:r>
        <w:rPr>
          <w:rFonts w:ascii="Aptos" w:hAnsi="Aptos"/>
          <w:b/>
          <w:sz w:val="32"/>
        </w:rPr>
        <w:t>21.1.1 Registration Kept Alive (RKA)</w:t>
      </w:r>
    </w:p>
    <w:p>
      <w:pPr>
        <w:spacing w:after="100"/>
      </w:pPr>
      <w:r>
        <w:rPr>
          <w:rFonts w:ascii="Aptos" w:hAnsi="Aptos"/>
          <w:sz w:val="21"/>
        </w:rPr>
        <w:t>A student admitted to an M.Tech program who has at least completed minimum credit requirement of the first semester, can keep his studentship alive while he is pursuing any professional activity, by opting for RKA in subsequent semesters. The candidate must indicate his intent of RKA before the last date of late registration through DRC to Dean(academic). The candidate has to pay appropriate registration fees for RKA status. A student can maintain RKA status for a maximum of 6 semesters.</w:t>
      </w:r>
    </w:p>
    <w:p>
      <w:pPr>
        <w:pStyle w:val="Heading1"/>
        <w:keepNext/>
      </w:pPr>
      <w:r>
        <w:rPr>
          <w:rFonts w:ascii="Aptos" w:hAnsi="Aptos"/>
          <w:b/>
          <w:sz w:val="32"/>
        </w:rPr>
        <w:t>21.2 Change of Registration from M.Tech. Programme to M.Tech.-Ph.D. dual degree Programme</w:t>
      </w:r>
    </w:p>
    <w:p>
      <w:pPr>
        <w:spacing w:after="100"/>
      </w:pPr>
      <w:r>
        <w:rPr>
          <w:rFonts w:ascii="Aptos" w:hAnsi="Aptos"/>
          <w:sz w:val="21"/>
        </w:rPr>
        <w:t>[ [Back to index] ](https://www.iitj.ac.in/office-of-academics/en/academic-regulations#top21.2%20Change%20of%20Registration%20from%20M.Tech.%20Programme%20to%20M.Tech.-Ph.D.%20dual%20degree%20Programme) A regular student registered for the M.Tech. programme having CGPA 8 or more at the end of the second semester may be allowed to switch to M.Tech.-Ph.D. dual degree program till the end of the third semester. As a special case, a student can switch to a dual degree in the fourth semester with the approval of DRC, provided his/her CGPA is 8 or more, who will then be required to complete his/her candidacy requirements by the end of the fifth semester. All conditions of M.Tech.-Ph.D. dual degree program will be applicable to all such students. All such changes of registration shall be reported to the Senate.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https://www.iitj.ac.in/materials-engineering/en/regulations</w:t>
        </w:r>
      </w:hyperlink>
    </w:p>
    <w:p>
      <w:pPr>
        <w:pStyle w:val="ListBullet"/>
      </w:pPr>
      <w:hyperlink r:id="rId11">
        <w:r>
          <w:rPr>
            <w:color w:val="0563C1"/>
            <w:u w:val="single"/>
          </w:rPr>
          <w:t>https://www.iitj.ac.in/office-of-academics/en/academic-regulations#top12.2%20Limits%20on%20Registration</w:t>
        </w:r>
      </w:hyperlink>
    </w:p>
    <w:p>
      <w:pPr>
        <w:pStyle w:val="ListBullet"/>
      </w:pPr>
      <w:hyperlink r:id="rId12">
        <w:r>
          <w:rPr>
            <w:color w:val="0563C1"/>
            <w:u w:val="single"/>
          </w:rPr>
          <w:t>https://www.iitj.ac.in/office-of-academics/en/academic-regulations#top12.4%20Change%20of%20Registration%20from%20B.%20Tech.%20Programme%20to%20B.Tech.-%20M.%20Tech.%20dual%20degree%20Programme</w:t>
        </w:r>
      </w:hyperlink>
    </w:p>
    <w:p>
      <w:pPr>
        <w:pStyle w:val="ListBullet"/>
      </w:pPr>
      <w:hyperlink r:id="rId13">
        <w:r>
          <w:rPr>
            <w:color w:val="0563C1"/>
            <w:u w:val="single"/>
          </w:rPr>
          <w:t>https://www.iitj.ac.in/office-of-academics/en/academic-regulations#top21.1%20Limits%20on%20Registration</w:t>
        </w:r>
      </w:hyperlink>
    </w:p>
    <w:p>
      <w:pPr>
        <w:pStyle w:val="ListBullet"/>
      </w:pPr>
      <w:hyperlink r:id="rId14">
        <w:r>
          <w:rPr>
            <w:color w:val="0563C1"/>
            <w:u w:val="single"/>
          </w:rPr>
          <w:t>https://www.iitj.ac.in/office-of-academics/en/academic-regulations#top21.2%20Change%20of%20Registration%20from%20M.Tech.%20Programme%20to%20M.Tech.-Ph.D.%20dual%20degree%20Programme</w:t>
        </w:r>
      </w:hyperlink>
    </w:p>
    <w:p>
      <w:pPr>
        <w:pStyle w:val="ListBullet"/>
      </w:pPr>
      <w:hyperlink r:id="rId15">
        <w:r>
          <w:rPr>
            <w:color w:val="0563C1"/>
            <w:u w:val="single"/>
          </w:rPr>
          <w:t>https://www.iitj.ac.in/office-of-academics/en/academic-regulations#top21.3%20Change%20of%20Registration%20from%20Part-Time%20M.Tech.%20to%20Part-Time%20Ph.D.%20Program</w:t>
        </w:r>
      </w:hyperlink>
    </w:p>
    <w:p>
      <w:pPr>
        <w:pStyle w:val="ListBullet"/>
      </w:pPr>
      <w:hyperlink r:id="rId16">
        <w:r>
          <w:rPr>
            <w:color w:val="0563C1"/>
            <w:u w:val="single"/>
          </w:rPr>
          <w:t>https://www.iitj.ac.in/office-of-academics/en/academic-regulations#top21.4%20Change%20of%20Registration%20from%20Full-Time%20to%20Part-Time/External%20Ph.D.%20Programme</w:t>
        </w:r>
      </w:hyperlink>
    </w:p>
    <w:p>
      <w:pPr>
        <w:pStyle w:val="ListBullet"/>
      </w:pPr>
      <w:hyperlink r:id="rId17">
        <w:r>
          <w:rPr>
            <w:color w:val="0563C1"/>
            <w:u w:val="single"/>
          </w:rPr>
          <w:t>https://www.iitj.ac.in/office-of-academics/en/academic-regulations#top26.8%20Cancellation%20of%20Registration</w:t>
        </w:r>
      </w:hyperlink>
    </w:p>
    <w:p>
      <w:pPr>
        <w:pStyle w:val="ListBullet"/>
      </w:pPr>
      <w:hyperlink r:id="rId18">
        <w:r>
          <w:rPr>
            <w:color w:val="0563C1"/>
            <w:u w:val="single"/>
          </w:rPr>
          <w:t>https://www.iitj.ac.in/office-of-academics/en/academic-regulations#top3.%20Registration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regulations" TargetMode="External"/><Relationship Id="rId11" Type="http://schemas.openxmlformats.org/officeDocument/2006/relationships/hyperlink" Target="https://www.iitj.ac.in/office-of-academics/en/academic-regulations#top12.2%20Limits%20on%20Registration" TargetMode="External"/><Relationship Id="rId12" Type="http://schemas.openxmlformats.org/officeDocument/2006/relationships/hyperlink" Target="https://www.iitj.ac.in/office-of-academics/en/academic-regulations#top12.4%20Change%20of%20Registration%20from%20B.%20Tech.%20Programme%20to%20B.Tech.-%20M.%20Tech.%20dual%20degree%20Programme" TargetMode="External"/><Relationship Id="rId13" Type="http://schemas.openxmlformats.org/officeDocument/2006/relationships/hyperlink" Target="https://www.iitj.ac.in/office-of-academics/en/academic-regulations#top21.1%20Limits%20on%20Registration" TargetMode="External"/><Relationship Id="rId14" Type="http://schemas.openxmlformats.org/officeDocument/2006/relationships/hyperlink" Target="https://www.iitj.ac.in/office-of-academics/en/academic-regulations#top21.2%20Change%20of%20Registration%20from%20M.Tech.%20Programme%20to%20M.Tech.-Ph.D.%20dual%20degree%20Programme" TargetMode="External"/><Relationship Id="rId15" Type="http://schemas.openxmlformats.org/officeDocument/2006/relationships/hyperlink" Target="https://www.iitj.ac.in/office-of-academics/en/academic-regulations#top21.3%20Change%20of%20Registration%20from%20Part-Time%20M.Tech.%20to%20Part-Time%20Ph.D.%20Program" TargetMode="External"/><Relationship Id="rId16" Type="http://schemas.openxmlformats.org/officeDocument/2006/relationships/hyperlink" Target="https://www.iitj.ac.in/office-of-academics/en/academic-regulations#top21.4%20Change%20of%20Registration%20from%20Full-Time%20to%20Part-Time/External%20Ph.D.%20Programme" TargetMode="External"/><Relationship Id="rId17" Type="http://schemas.openxmlformats.org/officeDocument/2006/relationships/hyperlink" Target="https://www.iitj.ac.in/office-of-academics/en/academic-regulations#top26.8%20Cancellation%20of%20Registration" TargetMode="External"/><Relationship Id="rId18" Type="http://schemas.openxmlformats.org/officeDocument/2006/relationships/hyperlink" Target="https://www.iitj.ac.in/office-of-academics/en/academic-regulations#top3.%20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Registration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