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Office of Resources and Alumni — Alumni</w:t>
      </w:r>
    </w:p>
    <w:p>
      <w:r>
        <w:rPr>
          <w:rFonts w:ascii="Aptos" w:hAnsi="Aptos"/>
          <w:b/>
          <w:sz w:val="19"/>
        </w:rPr>
        <w:t>IIT Jodhpur • Office of Resources and Alumni • Alumni</w:t>
      </w:r>
    </w:p>
    <w:p>
      <w:pPr>
        <w:pBdr>
          <w:bottom w:val="single" w:sz="5" w:space="1" w:color="B7C4D6"/>
        </w:pBdr>
      </w:pPr>
    </w:p>
    <w:p>
      <w:pPr>
        <w:pStyle w:val="Heading1"/>
        <w:keepNext/>
      </w:pPr>
      <w:r>
        <w:rPr>
          <w:rFonts w:ascii="Aptos" w:hAnsi="Aptos"/>
          <w:b/>
          <w:sz w:val="32"/>
        </w:rPr>
        <w:t>Welcome to the Office of Resources and Alumni (DORA)</w:t>
      </w:r>
    </w:p>
    <w:p>
      <w:pPr>
        <w:spacing w:after="100"/>
      </w:pPr>
      <w:r>
        <w:rPr>
          <w:rFonts w:ascii="Aptos" w:hAnsi="Aptos"/>
          <w:sz w:val="21"/>
        </w:rPr>
        <w:t>The Office of Alumni Relations at IIT Jodhpur serves as the central platform for nurturing meaningful and enduring connections between the institute and its alumni community worldwide. With a vision to build a strong, engaged, and supportive alumni network, the office plays a vital role in advancing the institute’s mission and vision by fostering networking, collaboration, and fundraising initiatives.</w:t>
      </w:r>
    </w:p>
    <w:p>
      <w:pPr>
        <w:pStyle w:val="Heading1"/>
        <w:keepNext/>
      </w:pPr>
      <w:r>
        <w:rPr>
          <w:rFonts w:ascii="Aptos" w:hAnsi="Aptos"/>
          <w:b/>
          <w:sz w:val="32"/>
        </w:rPr>
        <w:t>Alumni Induction Programme</w:t>
      </w:r>
    </w:p>
    <w:p>
      <w:pPr>
        <w:spacing w:after="100"/>
      </w:pPr>
      <w:r>
        <w:rPr>
          <w:rFonts w:ascii="Aptos" w:hAnsi="Aptos"/>
          <w:sz w:val="21"/>
        </w:rPr>
        <w:t>The Alumni Induction Programme is thoughtfully organized on the evening of the convocation day every year, followed by a gala networking dinner. Delegates of the convocation ceremony participate alongside the Director, Deputy Director, officials from the Office of Alumni Relations, faculty, staff, and representatives from the Alumni Society. This gathering creates an opportunity to formally welcome new graduates into the dynamic and ever-growing IIT Jodhpur alumni community. The programme is designed to celebrate the significant milestone of transitioning from students to alumni, fostering a lifelong connection between the institute and its graduates. It acknowledges their academic achievements and marks the beginning of their journey as active contributors and ambassadors of the institute’s legacy. At its core, the Alumni Induction Programme aims to cultivate a strong sense of belonging and engagement among new alumni. It introduces them to the values, vision, and ongoing initiatives of the alumni network, encouraging them to embrace their role in supporting and advancing the institute’s mission. By facilitating meaningful interactions between new graduates and established alumni, and by connecting them with regional and international alumni chapters, the programme promotes a culture of collaboration, mentorship, and professional networking. It inspires alumni to leverage this collective strength for personal growth, entrepreneurship, research, higher education, and contributions toward societal welfare. Ultimately, the Alumni Induction Programme emphasizes the importance of sustained, mutually enriching relationships between the institute and its alumni community. It reinforces a shared commitment to fostering excellence, innovation, and service that benefits both the institute and the broader global community. Alumni Induction 2023 Picture Alumni Induction 2023 Alumni Induction 2024 Picture Alumni Induction 2024</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https://www.iitj.ac.in/PageImages/Gallery/09-2025/Alumni-Induction-2023-1-638947366877772422.jpg</w:t>
        </w:r>
      </w:hyperlink>
    </w:p>
    <w:p>
      <w:pPr>
        <w:pStyle w:val="ListBullet"/>
      </w:pPr>
      <w:hyperlink r:id="rId11">
        <w:r>
          <w:rPr>
            <w:color w:val="0563C1"/>
            <w:u w:val="single"/>
          </w:rPr>
          <w:t>https://www.iitj.ac.in/PageImages/Gallery/09-2025/Alumni-Induction-2023-2-638947367798012922.jpg</w:t>
        </w:r>
      </w:hyperlink>
    </w:p>
    <w:p>
      <w:pPr>
        <w:pStyle w:val="ListBullet"/>
      </w:pPr>
      <w:hyperlink r:id="rId12">
        <w:r>
          <w:rPr>
            <w:color w:val="0563C1"/>
            <w:u w:val="single"/>
          </w:rPr>
          <w:t>https://www.iitj.ac.in/PageImages/Gallery/09-2025/Alumni-Induction-2024-1-638947431020690672.jpg</w:t>
        </w:r>
      </w:hyperlink>
    </w:p>
    <w:p>
      <w:pPr>
        <w:pStyle w:val="ListBullet"/>
      </w:pPr>
      <w:hyperlink r:id="rId13">
        <w:r>
          <w:rPr>
            <w:color w:val="0563C1"/>
            <w:u w:val="single"/>
          </w:rPr>
          <w:t>https://www.iitj.ac.in/PageImages/Gallery/09-2025/Alumni-Induction-2024-2-638947431167474098.jpg</w:t>
        </w:r>
      </w:hyperlink>
    </w:p>
    <w:p>
      <w:pPr>
        <w:pStyle w:val="ListBullet"/>
      </w:pPr>
      <w:hyperlink r:id="rId14">
        <w:r>
          <w:rPr>
            <w:color w:val="0563C1"/>
            <w:u w:val="single"/>
          </w:rPr>
          <w:t>https://www.iitj.ac.in/PageImages/Gallery/09-2025/Alumni-Induction-2024-3-638947431324427448.jpg</w:t>
        </w:r>
      </w:hyperlink>
    </w:p>
    <w:p>
      <w:pPr>
        <w:pStyle w:val="ListBullet"/>
      </w:pPr>
      <w:hyperlink r:id="rId15">
        <w:r>
          <w:rPr>
            <w:color w:val="0563C1"/>
            <w:u w:val="single"/>
          </w:rPr>
          <w:t>https://www.iitj.ac.in/cete/en/blended-learning-and-flipped-classroom</w:t>
        </w:r>
      </w:hyperlink>
    </w:p>
    <w:p>
      <w:pPr>
        <w:pStyle w:val="ListBullet"/>
      </w:pPr>
      <w:hyperlink r:id="rId16">
        <w:r>
          <w:rPr>
            <w:color w:val="0563C1"/>
            <w:u w:val="single"/>
          </w:rPr>
          <w:t>https://www.iitj.ac.in/cete/en/game-based-learning-for-engineering-education</w:t>
        </w:r>
      </w:hyperlink>
    </w:p>
    <w:p>
      <w:pPr>
        <w:pStyle w:val="ListBullet"/>
      </w:pPr>
      <w:hyperlink r:id="rId17">
        <w:r>
          <w:rPr>
            <w:color w:val="0563C1"/>
            <w:u w:val="single"/>
          </w:rPr>
          <w:t>https://www.iitj.ac.in/dora/en/activities</w:t>
        </w:r>
      </w:hyperlink>
    </w:p>
    <w:p>
      <w:pPr>
        <w:pStyle w:val="ListBullet"/>
      </w:pPr>
      <w:hyperlink r:id="rId18">
        <w:r>
          <w:rPr>
            <w:color w:val="0563C1"/>
            <w:u w:val="single"/>
          </w:rPr>
          <w:t>https://www.iitj.ac.in/dora/en/dora</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PageImages/Gallery/09-2025/Alumni-Induction-2023-1-638947366877772422.jpg" TargetMode="External"/><Relationship Id="rId11" Type="http://schemas.openxmlformats.org/officeDocument/2006/relationships/hyperlink" Target="https://www.iitj.ac.in/PageImages/Gallery/09-2025/Alumni-Induction-2023-2-638947367798012922.jpg" TargetMode="External"/><Relationship Id="rId12" Type="http://schemas.openxmlformats.org/officeDocument/2006/relationships/hyperlink" Target="https://www.iitj.ac.in/PageImages/Gallery/09-2025/Alumni-Induction-2024-1-638947431020690672.jpg" TargetMode="External"/><Relationship Id="rId13" Type="http://schemas.openxmlformats.org/officeDocument/2006/relationships/hyperlink" Target="https://www.iitj.ac.in/PageImages/Gallery/09-2025/Alumni-Induction-2024-2-638947431167474098.jpg" TargetMode="External"/><Relationship Id="rId14" Type="http://schemas.openxmlformats.org/officeDocument/2006/relationships/hyperlink" Target="https://www.iitj.ac.in/PageImages/Gallery/09-2025/Alumni-Induction-2024-3-638947431324427448.jpg" TargetMode="External"/><Relationship Id="rId15" Type="http://schemas.openxmlformats.org/officeDocument/2006/relationships/hyperlink" Target="https://www.iitj.ac.in/cete/en/blended-learning-and-flipped-classroom" TargetMode="External"/><Relationship Id="rId16" Type="http://schemas.openxmlformats.org/officeDocument/2006/relationships/hyperlink" Target="https://www.iitj.ac.in/cete/en/game-based-learning-for-engineering-education" TargetMode="External"/><Relationship Id="rId17" Type="http://schemas.openxmlformats.org/officeDocument/2006/relationships/hyperlink" Target="https://www.iitj.ac.in/dora/en/activities" TargetMode="External"/><Relationship Id="rId18" Type="http://schemas.openxmlformats.org/officeDocument/2006/relationships/hyperlink" Target="https://www.iitj.ac.in/dora/en/do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Office of Resources and Alumni — Alumni</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