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M.S. by Research — Programs</w:t>
      </w:r>
    </w:p>
    <w:p>
      <w:r>
        <w:rPr>
          <w:rFonts w:ascii="Aptos" w:hAnsi="Aptos"/>
          <w:b/>
          <w:sz w:val="19"/>
        </w:rPr>
        <w:t>IIT Jodhpur • M.S. by Research • Programs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Program Features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Opportunities for collaborative projects across disciplines.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Practice-based outputs, including new art forms and entrepreneurial ventures.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Focus on inclusivity and livelihood generation for disenfranchised artisans.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Flexible coursework and simultaneous research options tailored to student interests.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Program Structure</w:t>
      </w:r>
    </w:p>
    <w:p>
      <w:pPr>
        <w:spacing w:after="100"/>
      </w:pPr>
      <w:r>
        <w:rPr>
          <w:rFonts w:ascii="Aptos" w:hAnsi="Aptos"/>
          <w:sz w:val="21"/>
        </w:rPr>
        <w:t>1.) Eligibility: Bachelor's (B.Tech. or equivalent, 4 years) or Master's (M.A./M.Sc., 5 years) with a strong academic record. 2.) Duration: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Full-time: 2–4 years.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Part-time: 3–5 years.</w:t>
      </w:r>
    </w:p>
    <w:p>
      <w:pPr>
        <w:spacing w:after="100"/>
      </w:pPr>
      <w:r>
        <w:rPr>
          <w:rFonts w:ascii="Aptos" w:hAnsi="Aptos"/>
          <w:sz w:val="21"/>
        </w:rPr>
        <w:t>3.) Credits: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Coursework: 24 credits.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Thesis: 36 credits.</w:t>
      </w:r>
    </w:p>
    <w:p>
      <w:pPr>
        <w:spacing w:after="100"/>
      </w:pPr>
      <w:r>
        <w:rPr>
          <w:rFonts w:ascii="Aptos" w:hAnsi="Aptos"/>
          <w:sz w:val="21"/>
        </w:rPr>
        <w:t>4.) Course Flexibility: Students customize coursework from advanced courses across disciplines, guided by the ADI Research Committee.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https://www.iitj.ac.in/centre-of-excellence-on-arts-and-digital-immersion/en/m.s.-by-research-program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centre-of-excellence-on-arts-and-digital-immersion/en/m.s.-by-research-pro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M.S. by Research — Programs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