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Research</w:t>
      </w:r>
    </w:p>
    <w:p>
      <w:r>
        <w:rPr>
          <w:rFonts w:ascii="Aptos" w:hAnsi="Aptos"/>
          <w:b/>
          <w:sz w:val="19"/>
        </w:rPr>
        <w:t>IIT Jodhpur • Research • Research</w:t>
      </w:r>
    </w:p>
    <w:p>
      <w:pPr>
        <w:pBdr>
          <w:bottom w:val="single" w:sz="5" w:space="1" w:color="B7C4D6"/>
        </w:pBdr>
      </w:pPr>
    </w:p>
    <w:p>
      <w:pPr>
        <w:pStyle w:val="Heading1"/>
        <w:keepNext/>
      </w:pPr>
      <w:r>
        <w:rPr>
          <w:rFonts w:ascii="Aptos" w:hAnsi="Aptos"/>
          <w:b/>
          <w:sz w:val="32"/>
        </w:rPr>
        <w:t>Current Research Areas</w:t>
      </w:r>
    </w:p>
    <w:p>
      <w:pPr>
        <w:spacing w:after="100"/>
      </w:pPr>
      <w:r>
        <w:rPr>
          <w:rFonts w:ascii="Aptos" w:hAnsi="Aptos"/>
          <w:sz w:val="21"/>
        </w:rPr>
        <w:t>blended-learning-and-flipped-classroom Blended Learning and Flipped Classroom game-based-learning-for-engineering-education Game-based Learning for Eng. Education [ immersive-education Immersive Education ](https://www.iitj.ac.in/cete/en/immersive-education) [ behavioral-studies Behavioral Studies ](https://www.iitj.ac.in/cete/en/behavioral-studies) [ education-policy Education Policy ](https://www.iitj.ac.in/cete/en/education-policy) The future of education needs to come out of the conventional test-driven grade-centric fixed curriculum framework into a curiosity-driven learning-centric personalized curriculum paradigm. Education should be flexible and individualized and should aim to integrate disciplines, technologies, and life experience. It should not only be offered in flexible ways but also serve to efficiently and optimally utilize available resources. In the long run, education should support continuous and life-long learning and cultivate creativity and interpersonal skills that help becoming a student into a contributing global citizen. As educational experiences need to be carefully handcrafted by the teachers, creative pedagogies can be developed by reimagining the kindergarten philosophy of imagine-create-play-share-reflect-imagine. The post-COVID era and education transformation will require changes in content coupled with pedagogy and modality of delivery. The required changes need to serve the purpose of experiential learning; transferability of knowledge and skills to novel situations; integration of science and technology with social context; capacity to design for technological solution for end-user and solve the open-ended problem; and development of skill (hard and soft skills) which are connected to the preceding aspects. In its efforts to drive and craft the future of education, the Centre aims to drive research and technological efforts towards this vision so that educators and students can co-create a futuristic, cosmopolitan and immersive educational experience. The vision of the Centre is to cater to the needs of all the stakeholders of the educational framework - the students, teachers, educational institutes (administration), parents, and society at large, with a primary focus on learners and educators. Some of the issues faced by these stakeholders and their potential strategies towards the solutions are enlisted and discussed here.</w:t>
      </w:r>
    </w:p>
    <w:p>
      <w:pPr>
        <w:pStyle w:val="Heading1"/>
        <w:keepNext/>
      </w:pPr>
      <w:r>
        <w:rPr>
          <w:rFonts w:ascii="Aptos" w:hAnsi="Aptos"/>
          <w:b/>
          <w:sz w:val="32"/>
        </w:rPr>
        <w:t>Research Areas</w:t>
      </w:r>
    </w:p>
    <w:p>
      <w:pPr>
        <w:spacing w:after="100"/>
      </w:pPr>
      <w:r>
        <w:rPr>
          <w:rFonts w:ascii="Aptos" w:hAnsi="Aptos"/>
          <w:sz w:val="21"/>
        </w:rPr>
        <w:t>1.) AI and Creative Arts:</w:t>
      </w:r>
    </w:p>
    <w:p>
      <w:pPr>
        <w:pStyle w:val="ListBullet"/>
        <w:spacing w:after="40"/>
      </w:pPr>
      <w:r>
        <w:rPr>
          <w:rFonts w:ascii="Aptos" w:hAnsi="Aptos"/>
          <w:sz w:val="20"/>
        </w:rPr>
        <w:t>Utilize AI for generating artwork, composing music, storytelling, and exploring ethical questions around authorship and creativity.</w:t>
      </w:r>
    </w:p>
    <w:p>
      <w:pPr>
        <w:pStyle w:val="ListBullet"/>
        <w:spacing w:after="40"/>
      </w:pPr>
      <w:r>
        <w:rPr>
          <w:rFonts w:ascii="Aptos" w:hAnsi="Aptos"/>
          <w:sz w:val="20"/>
        </w:rPr>
        <w:t>Push the boundaries of artistic expression with AI-assisted tools.</w:t>
      </w:r>
    </w:p>
    <w:p>
      <w:pPr>
        <w:spacing w:after="100"/>
      </w:pPr>
      <w:r>
        <w:rPr>
          <w:rFonts w:ascii="Aptos" w:hAnsi="Aptos"/>
          <w:sz w:val="21"/>
        </w:rPr>
        <w:t>2.) Mixed-Media Art:</w:t>
      </w:r>
    </w:p>
    <w:p>
      <w:pPr>
        <w:pStyle w:val="ListBullet"/>
        <w:spacing w:after="40"/>
      </w:pPr>
      <w:r>
        <w:rPr>
          <w:rFonts w:ascii="Aptos" w:hAnsi="Aptos"/>
          <w:sz w:val="20"/>
        </w:rPr>
        <w:t>Redefine art with immersive technologies like VR, AR, and MR.</w:t>
      </w:r>
    </w:p>
    <w:p>
      <w:pPr>
        <w:pStyle w:val="ListBullet"/>
        <w:spacing w:after="40"/>
      </w:pPr>
      <w:r>
        <w:rPr>
          <w:rFonts w:ascii="Aptos" w:hAnsi="Aptos"/>
          <w:sz w:val="20"/>
        </w:rPr>
        <w:t>Explore themes like identity, AI, data privacy, and social media through interactive installations and virtual environments.</w:t>
      </w:r>
    </w:p>
    <w:p>
      <w:pPr>
        <w:pStyle w:val="Heading1"/>
        <w:keepNext/>
      </w:pPr>
      <w:r>
        <w:rPr>
          <w:rFonts w:ascii="Aptos" w:hAnsi="Aptos"/>
          <w:b/>
          <w:sz w:val="32"/>
        </w:rPr>
        <w:t>About Research</w:t>
      </w:r>
    </w:p>
    <w:p>
      <w:pPr>
        <w:spacing w:after="100"/>
      </w:pPr>
      <w:r>
        <w:rPr>
          <w:rFonts w:ascii="Aptos" w:hAnsi="Aptos"/>
          <w:sz w:val="21"/>
        </w:rPr>
        <w:t>The Centre of Excellence for Arts and Digital Immersion (ADI) explores innovative intersections between art, technology, and culture.</w:t>
      </w:r>
    </w:p>
    <w:p>
      <w:pPr>
        <w:spacing w:after="100"/>
      </w:pPr>
      <w:r>
        <w:rPr>
          <w:rFonts w:ascii="Aptos" w:hAnsi="Aptos"/>
          <w:sz w:val="21"/>
        </w:rPr>
        <w:t>In its pursuit of 'futurescaping education,' the Centre encompasses fundamental transdisciplinary research at the intersection of cognitive science, the science of learning, education technologies, applications of immersive extended reality (XR), and AI-enabled education. It aims to produce tangible delivery of pedagogical tools, methodologies, and technologies. In the wake of the Covid-19 pandemic, where blended learning has become a necessity, and paradigms of both classroom learning and online learning need massive realignment to the new reality of distance learning, the Centre aims to champion research and development for its primary stakeholders—learners &amp; educators—and second stakeholders— the educational administration, parents, and society. The Centre would also reimagine and redefine applications of the state-of-the-art technological interfaces and platforms towards the success of individual learners and educators.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https://www.iitj.ac.in/PageImages/Gallery/06-2025/Current-Research-Areas-1-638866186326818283.png</w:t>
        </w:r>
      </w:hyperlink>
    </w:p>
    <w:p>
      <w:pPr>
        <w:pStyle w:val="ListBullet"/>
      </w:pPr>
      <w:hyperlink r:id="rId11">
        <w:r>
          <w:rPr>
            <w:color w:val="0563C1"/>
            <w:u w:val="single"/>
          </w:rPr>
          <w:t>https://www.iitj.ac.in/PageImages/Gallery/06-2025/Current-Research-Areas-2-638866186454009188.jpg</w:t>
        </w:r>
      </w:hyperlink>
    </w:p>
    <w:p>
      <w:pPr>
        <w:pStyle w:val="ListBullet"/>
      </w:pPr>
      <w:hyperlink r:id="rId12">
        <w:r>
          <w:rPr>
            <w:color w:val="0563C1"/>
            <w:u w:val="single"/>
          </w:rPr>
          <w:t>https://www.iitj.ac.in/PageImages/Gallery/06-2025/Current-Research-Areas-3-638866186576563440.png</w:t>
        </w:r>
      </w:hyperlink>
    </w:p>
    <w:p>
      <w:pPr>
        <w:pStyle w:val="ListBullet"/>
      </w:pPr>
      <w:hyperlink r:id="rId13">
        <w:r>
          <w:rPr>
            <w:color w:val="0563C1"/>
            <w:u w:val="single"/>
          </w:rPr>
          <w:t>https://www.iitj.ac.in/PageImages/Gallery/06-2025/Current-Research-Areas-4-638866186699031163.jpg</w:t>
        </w:r>
      </w:hyperlink>
    </w:p>
    <w:p>
      <w:pPr>
        <w:pStyle w:val="ListBullet"/>
      </w:pPr>
      <w:hyperlink r:id="rId14">
        <w:r>
          <w:rPr>
            <w:color w:val="0563C1"/>
            <w:u w:val="single"/>
          </w:rPr>
          <w:t>https://www.iitj.ac.in/PageImages/Gallery/06-2025/Current-Research-Areas-5-638866186825548220.png</w:t>
        </w:r>
      </w:hyperlink>
    </w:p>
    <w:p>
      <w:pPr>
        <w:pStyle w:val="ListBullet"/>
      </w:pPr>
      <w:hyperlink r:id="rId15">
        <w:r>
          <w:rPr>
            <w:color w:val="0563C1"/>
            <w:u w:val="single"/>
          </w:rPr>
          <w:t>https://www.iitj.ac.in/centre-of-excellence-on-arts-and-digital-immersion/en/about-research</w:t>
        </w:r>
      </w:hyperlink>
    </w:p>
    <w:p>
      <w:pPr>
        <w:pStyle w:val="ListBullet"/>
      </w:pPr>
      <w:hyperlink r:id="rId16">
        <w:r>
          <w:rPr>
            <w:color w:val="0563C1"/>
            <w:u w:val="single"/>
          </w:rPr>
          <w:t>https://www.iitj.ac.in/centre-of-excellence-on-arts-and-digital-immersion/en/m.s.-by-research-program</w:t>
        </w:r>
      </w:hyperlink>
    </w:p>
    <w:p>
      <w:pPr>
        <w:pStyle w:val="ListBullet"/>
      </w:pPr>
      <w:hyperlink r:id="rId17">
        <w:r>
          <w:rPr>
            <w:color w:val="0563C1"/>
            <w:u w:val="single"/>
          </w:rPr>
          <w:t>https://www.iitj.ac.in/cete/en/about-research</w:t>
        </w:r>
      </w:hyperlink>
    </w:p>
    <w:p>
      <w:pPr>
        <w:pStyle w:val="ListBullet"/>
      </w:pPr>
      <w:hyperlink r:id="rId18">
        <w:r>
          <w:rPr>
            <w:color w:val="0563C1"/>
            <w:u w:val="single"/>
          </w:rPr>
          <w:t>https://www.iitj.ac.in/cete/en/behavioral-studies</w:t>
        </w:r>
      </w:hyperlink>
    </w:p>
    <w:p>
      <w:pPr>
        <w:pStyle w:val="ListBullet"/>
      </w:pPr>
      <w:hyperlink r:id="rId19">
        <w:r>
          <w:rPr>
            <w:color w:val="0563C1"/>
            <w:u w:val="single"/>
          </w:rPr>
          <w:t>https://www.iitj.ac.in/cete/en/blended-learning-and-flipped-classroom</w:t>
        </w:r>
      </w:hyperlink>
    </w:p>
    <w:p>
      <w:pPr>
        <w:pStyle w:val="ListBullet"/>
      </w:pPr>
      <w:hyperlink r:id="rId20">
        <w:r>
          <w:rPr>
            <w:color w:val="0563C1"/>
            <w:u w:val="single"/>
          </w:rPr>
          <w:t>https://www.iitj.ac.in/cete/en/education-policy</w:t>
        </w:r>
      </w:hyperlink>
    </w:p>
    <w:p>
      <w:pPr>
        <w:pStyle w:val="ListBullet"/>
      </w:pPr>
      <w:hyperlink r:id="rId21">
        <w:r>
          <w:rPr>
            <w:color w:val="0563C1"/>
            <w:u w:val="single"/>
          </w:rPr>
          <w:t>https://www.iitj.ac.in/cete/en/game-based-learning-for-engineering-education</w:t>
        </w:r>
      </w:hyperlink>
    </w:p>
    <w:p>
      <w:pPr>
        <w:pStyle w:val="ListBullet"/>
      </w:pPr>
      <w:hyperlink r:id="rId22">
        <w:r>
          <w:rPr>
            <w:color w:val="0563C1"/>
            <w:u w:val="single"/>
          </w:rPr>
          <w:t>https://www.iitj.ac.in/cete/en/immersive-education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6-2025/Current-Research-Areas-1-638866186326818283.png" TargetMode="External"/><Relationship Id="rId11" Type="http://schemas.openxmlformats.org/officeDocument/2006/relationships/hyperlink" Target="https://www.iitj.ac.in/PageImages/Gallery/06-2025/Current-Research-Areas-2-638866186454009188.jpg" TargetMode="External"/><Relationship Id="rId12" Type="http://schemas.openxmlformats.org/officeDocument/2006/relationships/hyperlink" Target="https://www.iitj.ac.in/PageImages/Gallery/06-2025/Current-Research-Areas-3-638866186576563440.png" TargetMode="External"/><Relationship Id="rId13" Type="http://schemas.openxmlformats.org/officeDocument/2006/relationships/hyperlink" Target="https://www.iitj.ac.in/PageImages/Gallery/06-2025/Current-Research-Areas-4-638866186699031163.jpg" TargetMode="External"/><Relationship Id="rId14" Type="http://schemas.openxmlformats.org/officeDocument/2006/relationships/hyperlink" Target="https://www.iitj.ac.in/PageImages/Gallery/06-2025/Current-Research-Areas-5-638866186825548220.png" TargetMode="External"/><Relationship Id="rId15" Type="http://schemas.openxmlformats.org/officeDocument/2006/relationships/hyperlink" Target="https://www.iitj.ac.in/centre-of-excellence-on-arts-and-digital-immersion/en/about-research" TargetMode="External"/><Relationship Id="rId16" Type="http://schemas.openxmlformats.org/officeDocument/2006/relationships/hyperlink" Target="https://www.iitj.ac.in/centre-of-excellence-on-arts-and-digital-immersion/en/m.s.-by-research-program" TargetMode="External"/><Relationship Id="rId17" Type="http://schemas.openxmlformats.org/officeDocument/2006/relationships/hyperlink" Target="https://www.iitj.ac.in/cete/en/about-research" TargetMode="External"/><Relationship Id="rId18" Type="http://schemas.openxmlformats.org/officeDocument/2006/relationships/hyperlink" Target="https://www.iitj.ac.in/cete/en/behavioral-studies" TargetMode="External"/><Relationship Id="rId19" Type="http://schemas.openxmlformats.org/officeDocument/2006/relationships/hyperlink" Target="https://www.iitj.ac.in/cete/en/blended-learning-and-flipped-classroom" TargetMode="External"/><Relationship Id="rId20" Type="http://schemas.openxmlformats.org/officeDocument/2006/relationships/hyperlink" Target="https://www.iitj.ac.in/cete/en/education-policy" TargetMode="External"/><Relationship Id="rId21" Type="http://schemas.openxmlformats.org/officeDocument/2006/relationships/hyperlink" Target="https://www.iitj.ac.in/cete/en/game-based-learning-for-engineering-education" TargetMode="External"/><Relationship Id="rId22" Type="http://schemas.openxmlformats.org/officeDocument/2006/relationships/hyperlink" Target="https://www.iitj.ac.in/cete/en/immersive-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