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General Academic Admission Regulations and Categories</w:t>
      </w:r>
    </w:p>
    <w:p>
      <w:pPr>
        <w:spacing w:before="0" w:after="280"/>
      </w:pPr>
      <w:r>
        <w:rPr>
          <w:rFonts w:ascii="Calibri" w:hAnsi="Calibri"/>
          <w:i/>
          <w:color w:val="666666"/>
          <w:sz w:val="20"/>
        </w:rPr>
        <w:t>Indian Institute of Technology Jodhpur  |  Category: admissions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regulations governing admissions across all undergraduate, postgraduate, and research programmes at Indian Institute of Technology Jodhpur.</w:t>
      </w:r>
    </w:p>
    <w:p>
      <w:pPr>
        <w:keepNext/>
        <w:spacing w:before="280" w:after="80"/>
      </w:pPr>
      <w:r>
        <w:rPr>
          <w:rFonts w:ascii="Calibri" w:hAnsi="Calibri"/>
          <w:color w:val="003366"/>
          <w:sz w:val="26"/>
        </w:rPr>
        <w:t>20.1 Categories of Admission</w:t>
      </w:r>
    </w:p>
    <w:p>
      <w:pPr>
        <w:spacing w:before="0" w:after="100" w:line="276" w:lineRule="auto"/>
      </w:pPr>
      <w:r>
        <w:rPr>
          <w:rFonts w:ascii="Calibri" w:hAnsi="Calibri"/>
          <w:sz w:val="20"/>
        </w:rPr>
        <w:t>A candidate can be admitted to IIT Jodhpur in any one of the following recognized academic categories:</w:t>
      </w:r>
    </w:p>
    <w:p>
      <w:pPr>
        <w:pStyle w:val="ListBullet"/>
        <w:spacing w:before="20" w:after="40"/>
      </w:pPr>
      <w:r>
        <w:rPr>
          <w:rFonts w:ascii="Calibri" w:hAnsi="Calibri"/>
          <w:sz w:val="20"/>
        </w:rPr>
        <w:t>Full-Time Regular: Candidates dedicating full-time study and research to the enrolled degree programme.</w:t>
      </w:r>
    </w:p>
    <w:p>
      <w:pPr>
        <w:pStyle w:val="ListBullet"/>
        <w:spacing w:before="20" w:after="40"/>
      </w:pPr>
      <w:r>
        <w:rPr>
          <w:rFonts w:ascii="Calibri" w:hAnsi="Calibri"/>
          <w:sz w:val="20"/>
        </w:rPr>
        <w:t>Full-Time Sponsored: Candidates sponsored by recognized external organisations, government entities, or educational institutions.</w:t>
      </w:r>
    </w:p>
    <w:p>
      <w:pPr>
        <w:pStyle w:val="ListBullet"/>
        <w:spacing w:before="20" w:after="40"/>
      </w:pPr>
      <w:r>
        <w:rPr>
          <w:rFonts w:ascii="Calibri" w:hAnsi="Calibri"/>
          <w:sz w:val="20"/>
        </w:rPr>
        <w:t>Part-Time: Working professionals employed in approved industries or research organisations pursuing coursework and research with structured credit distribution.</w:t>
      </w:r>
    </w:p>
    <w:p>
      <w:pPr>
        <w:pStyle w:val="ListBullet"/>
        <w:spacing w:before="20" w:after="40"/>
      </w:pPr>
      <w:r>
        <w:rPr>
          <w:rFonts w:ascii="Calibri" w:hAnsi="Calibri"/>
          <w:sz w:val="20"/>
        </w:rPr>
        <w:t>External: Candidates carrying out substantial research work at their parent organization under jointly approved supervision.</w:t>
      </w:r>
    </w:p>
    <w:p>
      <w:pPr>
        <w:pStyle w:val="ListBullet"/>
        <w:spacing w:before="20" w:after="40"/>
      </w:pPr>
      <w:r>
        <w:rPr>
          <w:rFonts w:ascii="Calibri" w:hAnsi="Calibri"/>
          <w:sz w:val="20"/>
        </w:rPr>
        <w:t>Executive: Working executives registered for specialised executive degree or diploma offerings.</w:t>
      </w:r>
    </w:p>
    <w:p>
      <w:pPr>
        <w:spacing w:before="0" w:after="100" w:line="276" w:lineRule="auto"/>
      </w:pPr>
      <w:r>
        <w:rPr>
          <w:rFonts w:ascii="Calibri" w:hAnsi="Calibri"/>
          <w:sz w:val="20"/>
        </w:rPr>
        <w:t>Note: All admission categories are not applicable to all programmes. Programmes can be offered in combinations of these modes (such as fully sponsored part-time programmes) as approved by the Senate.</w:t>
      </w:r>
    </w:p>
    <w:p>
      <w:pPr>
        <w:keepNext/>
        <w:spacing w:before="280" w:after="80"/>
      </w:pPr>
      <w:r>
        <w:rPr>
          <w:rFonts w:ascii="Calibri" w:hAnsi="Calibri"/>
          <w:color w:val="003366"/>
          <w:sz w:val="26"/>
        </w:rPr>
        <w:t>20.2.7 Admission Under Special Schemes (QIP and Defence Personnel)</w:t>
      </w:r>
    </w:p>
    <w:p>
      <w:pPr>
        <w:spacing w:before="0" w:after="100" w:line="276" w:lineRule="auto"/>
      </w:pPr>
      <w:r>
        <w:rPr>
          <w:rFonts w:ascii="Calibri" w:hAnsi="Calibri"/>
          <w:sz w:val="20"/>
        </w:rPr>
        <w:t>The procedures and criteria for admission of candidates under special schemes, such as the Quality Improvement Programme (QIP) and Defence Personnel sponsorship, are formulated with the explicit approval of the Chairman, Senate.</w:t>
      </w:r>
    </w:p>
    <w:p>
      <w:pPr>
        <w:keepNext/>
        <w:spacing w:before="280" w:after="80"/>
      </w:pPr>
      <w:r>
        <w:rPr>
          <w:rFonts w:ascii="Calibri" w:hAnsi="Calibri"/>
          <w:color w:val="003366"/>
          <w:sz w:val="26"/>
        </w:rPr>
        <w:t>10.5 Cancellation of Admission</w:t>
      </w:r>
    </w:p>
    <w:p>
      <w:pPr>
        <w:spacing w:before="0" w:after="100" w:line="276" w:lineRule="auto"/>
      </w:pPr>
      <w:r>
        <w:rPr>
          <w:rFonts w:ascii="Calibri" w:hAnsi="Calibri"/>
          <w:sz w:val="20"/>
        </w:rPr>
        <w:t>Admission of any student is subject to immediate cancellation if:</w:t>
      </w:r>
    </w:p>
    <w:p>
      <w:pPr>
        <w:pStyle w:val="ListBullet"/>
        <w:spacing w:before="20" w:after="40"/>
      </w:pPr>
      <w:r>
        <w:rPr>
          <w:rFonts w:ascii="Calibri" w:hAnsi="Calibri"/>
          <w:sz w:val="20"/>
        </w:rPr>
        <w:t>False or misleading information was submitted at the time of application or registration.</w:t>
      </w:r>
    </w:p>
    <w:p>
      <w:pPr>
        <w:pStyle w:val="ListBullet"/>
        <w:spacing w:before="20" w:after="40"/>
      </w:pPr>
      <w:r>
        <w:rPr>
          <w:rFonts w:ascii="Calibri" w:hAnsi="Calibri"/>
          <w:sz w:val="20"/>
        </w:rPr>
        <w:t>The candidate fails to satisfy the minimum eligibility criteria specified for the programme by the stipulated verification deadline.</w:t>
      </w:r>
    </w:p>
    <w:p>
      <w:pPr>
        <w:pStyle w:val="ListBullet"/>
        <w:spacing w:before="20" w:after="40"/>
      </w:pPr>
      <w:r>
        <w:rPr>
          <w:rFonts w:ascii="Calibri" w:hAnsi="Calibri"/>
          <w:sz w:val="20"/>
        </w:rPr>
        <w:t>Disciplinary violations or academic integrity breaches occur as determined by the Senate.</w:t>
      </w:r>
    </w:p>
    <w:p>
      <w:pPr>
        <w:keepNext/>
        <w:spacing w:before="280" w:after="80"/>
      </w:pPr>
      <w:r>
        <w:rPr>
          <w:rFonts w:ascii="Calibri" w:hAnsi="Calibri"/>
          <w:color w:val="003366"/>
          <w:sz w:val="26"/>
        </w:rPr>
        <w:t>10.6 Fulfillment of Admission Requirements</w:t>
      </w:r>
    </w:p>
    <w:p>
      <w:pPr>
        <w:spacing w:before="0" w:after="100" w:line="276" w:lineRule="auto"/>
      </w:pPr>
      <w:r>
        <w:rPr>
          <w:rFonts w:ascii="Calibri" w:hAnsi="Calibri"/>
          <w:sz w:val="20"/>
        </w:rPr>
        <w:t>Candidates admitted provisionally must submit all original qualifying degree certificates, mark sheets, and category certificates to the Office of Academics on or before the specified semester verification date.</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https://iitj.ac.in/</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https://www.iitj.ac.in/office-of-academics/en/academic-regulations</w:t>
        </w:r>
      </w:hyperlink>
    </w:p>
    <w:p>
      <w:pPr>
        <w:pStyle w:val="ListBullet"/>
        <w:spacing w:before="20" w:after="40"/>
      </w:pPr>
      <w:r>
        <w:rPr>
          <w:rFonts w:ascii="Calibri" w:hAnsi="Calibri"/>
          <w:sz w:val="20"/>
        </w:rPr>
        <w:t xml:space="preserve">Traceable Knowledge Units: </w:t>
      </w:r>
      <w:r>
        <w:rPr>
          <w:rFonts w:ascii="Consolas" w:hAnsi="Consolas"/>
          <w:color w:val="333333"/>
          <w:sz w:val="19"/>
        </w:rPr>
        <w:t>46d740a71b73b81c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office-of-academics/en/academic-regulations](https://www.iitj.ac.in/office-of-academics/en/academic-regulations](https://www.iitj.ac.in/office-of-academics/en/academic-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