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3366"/>
          <w:sz w:val="40"/>
        </w:rPr>
        <w:t>M.Sc. Sanctioned Seat Matrix (AY 2026-27)</w:t>
      </w:r>
    </w:p>
    <w:p>
      <w:pPr>
        <w:spacing w:before="0" w:after="280"/>
      </w:pPr>
      <w:r>
        <w:rPr>
          <w:rFonts w:ascii="Calibri" w:hAnsi="Calibri"/>
          <w:i/>
          <w:color w:val="666666"/>
          <w:sz w:val="20"/>
        </w:rPr>
        <w:t>Indian Institute of Technology Jodhpur  |  Category: admissions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Authoritative institutional knowledge for M.Sc. Sanctioned Seat Matrix (AY 2026-27) at Indian Institute of Technology Jodhpur.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003366"/>
          </w:tcPr>
          <w:p>
            <w:pPr>
              <w:spacing w:before="60" w:after="60"/>
            </w:pPr>
            <w:r>
              <w:rPr>
                <w:rFonts w:ascii="Calibri" w:hAnsi="Calibri"/>
                <w:color w:val="FFFFFF"/>
                <w:sz w:val="19"/>
              </w:rPr>
              <w:t>Mathematics</w:t>
            </w:r>
          </w:p>
        </w:tc>
        <w:tc>
          <w:tcPr>
            <w:tcW w:type="dxa" w:w="936"/>
            <w:shd w:fill="003366"/>
          </w:tcPr>
          <w:p>
            <w:pPr>
              <w:spacing w:before="60" w:after="60"/>
            </w:pPr>
            <w:r>
              <w:rPr>
                <w:rFonts w:ascii="Calibri" w:hAnsi="Calibri"/>
                <w:color w:val="FFFFFF"/>
                <w:sz w:val="19"/>
              </w:rPr>
              <w:t>17</w:t>
            </w:r>
          </w:p>
        </w:tc>
        <w:tc>
          <w:tcPr>
            <w:tcW w:type="dxa" w:w="936"/>
            <w:shd w:fill="003366"/>
          </w:tcPr>
          <w:p>
            <w:pPr>
              <w:spacing w:before="60" w:after="60"/>
            </w:pPr>
            <w:r>
              <w:rPr>
                <w:rFonts w:ascii="Calibri" w:hAnsi="Calibri"/>
                <w:color w:val="FFFFFF"/>
                <w:sz w:val="19"/>
              </w:rPr>
              <w:t>7</w:t>
            </w:r>
          </w:p>
        </w:tc>
        <w:tc>
          <w:tcPr>
            <w:tcW w:type="dxa" w:w="936"/>
            <w:shd w:fill="003366"/>
          </w:tcPr>
          <w:p>
            <w:pPr>
              <w:spacing w:before="60" w:after="60"/>
            </w:pPr>
            <w:r>
              <w:rPr>
                <w:rFonts w:ascii="Calibri" w:hAnsi="Calibri"/>
                <w:color w:val="FFFFFF"/>
                <w:sz w:val="19"/>
              </w:rPr>
              <w:t>1</w:t>
            </w:r>
          </w:p>
        </w:tc>
        <w:tc>
          <w:tcPr>
            <w:tcW w:type="dxa" w:w="936"/>
            <w:shd w:fill="003366"/>
          </w:tcPr>
          <w:p>
            <w:pPr>
              <w:spacing w:before="60" w:after="60"/>
            </w:pPr>
            <w:r>
              <w:rPr>
                <w:rFonts w:ascii="Calibri" w:hAnsi="Calibri"/>
                <w:color w:val="FFFFFF"/>
                <w:sz w:val="19"/>
              </w:rPr>
              <w:t>1</w:t>
            </w:r>
          </w:p>
        </w:tc>
        <w:tc>
          <w:tcPr>
            <w:tcW w:type="dxa" w:w="936"/>
            <w:shd w:fill="003366"/>
          </w:tcPr>
          <w:p>
            <w:pPr>
              <w:spacing w:before="60" w:after="60"/>
            </w:pPr>
            <w:r>
              <w:rPr>
                <w:rFonts w:ascii="Calibri" w:hAnsi="Calibri"/>
                <w:color w:val="FFFFFF"/>
                <w:sz w:val="19"/>
              </w:rPr>
              <w:t>4</w:t>
            </w:r>
          </w:p>
        </w:tc>
        <w:tc>
          <w:tcPr>
            <w:tcW w:type="dxa" w:w="936"/>
            <w:shd w:fill="003366"/>
          </w:tcPr>
          <w:p>
            <w:pPr>
              <w:spacing w:before="60" w:after="60"/>
            </w:pPr>
            <w:r>
              <w:rPr>
                <w:rFonts w:ascii="Calibri" w:hAnsi="Calibri"/>
                <w:color w:val="FFFFFF"/>
                <w:sz w:val="19"/>
              </w:rPr>
              <w:t>1</w:t>
            </w:r>
          </w:p>
        </w:tc>
        <w:tc>
          <w:tcPr>
            <w:tcW w:type="dxa" w:w="936"/>
            <w:shd w:fill="003366"/>
          </w:tcPr>
          <w:p>
            <w:pPr>
              <w:spacing w:before="60" w:after="60"/>
            </w:pPr>
            <w:r>
              <w:rPr>
                <w:rFonts w:ascii="Calibri" w:hAnsi="Calibri"/>
                <w:color w:val="FFFFFF"/>
                <w:sz w:val="19"/>
              </w:rPr>
              <w:t>2</w:t>
            </w:r>
          </w:p>
        </w:tc>
        <w:tc>
          <w:tcPr>
            <w:tcW w:type="dxa" w:w="936"/>
            <w:shd w:fill="003366"/>
          </w:tcPr>
          <w:p>
            <w:pPr>
              <w:spacing w:before="60" w:after="60"/>
            </w:pPr>
            <w:r>
              <w:rPr>
                <w:rFonts w:ascii="Calibri" w:hAnsi="Calibri"/>
                <w:color w:val="FFFFFF"/>
                <w:sz w:val="19"/>
              </w:rPr>
              <w:t>0</w:t>
            </w:r>
          </w:p>
        </w:tc>
        <w:tc>
          <w:tcPr>
            <w:tcW w:type="dxa" w:w="936"/>
            <w:shd w:fill="003366"/>
          </w:tcPr>
          <w:p>
            <w:pPr>
              <w:spacing w:before="60" w:after="60"/>
            </w:pPr>
            <w:r>
              <w:rPr>
                <w:rFonts w:ascii="Calibri" w:hAnsi="Calibri"/>
                <w:color w:val="FFFFFF"/>
                <w:sz w:val="19"/>
              </w:rPr>
              <w:t>1</w:t>
            </w:r>
          </w:p>
        </w:tc>
      </w:tr>
      <w:tr>
        <w:tc>
          <w:tcPr>
            <w:tcW w:type="dxa" w:w="936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Physics</w:t>
            </w:r>
          </w:p>
        </w:tc>
        <w:tc>
          <w:tcPr>
            <w:tcW w:type="dxa" w:w="936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17</w:t>
            </w:r>
          </w:p>
        </w:tc>
        <w:tc>
          <w:tcPr>
            <w:tcW w:type="dxa" w:w="936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type="dxa" w:w="936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936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936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936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936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936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936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c>
          <w:tcPr>
            <w:tcW w:type="dxa" w:w="93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Chemistry</w:t>
            </w:r>
          </w:p>
        </w:tc>
        <w:tc>
          <w:tcPr>
            <w:tcW w:type="dxa" w:w="93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16</w:t>
            </w:r>
          </w:p>
        </w:tc>
        <w:tc>
          <w:tcPr>
            <w:tcW w:type="dxa" w:w="93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93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93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93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93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93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93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93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1</w:t>
            </w:r>
          </w:p>
        </w:tc>
      </w:tr>
      <w:tr>
        <w:tc>
          <w:tcPr>
            <w:tcW w:type="dxa" w:w="936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Total Seats</w:t>
            </w:r>
          </w:p>
        </w:tc>
        <w:tc>
          <w:tcPr>
            <w:tcW w:type="dxa" w:w="936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50</w:t>
            </w:r>
          </w:p>
        </w:tc>
        <w:tc>
          <w:tcPr>
            <w:tcW w:type="dxa" w:w="936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20</w:t>
            </w:r>
          </w:p>
        </w:tc>
        <w:tc>
          <w:tcPr>
            <w:tcW w:type="dxa" w:w="936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1</w:t>
            </w:r>
          </w:p>
        </w:tc>
        <w:tc>
          <w:tcPr>
            <w:tcW w:type="dxa" w:w="936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5</w:t>
            </w:r>
          </w:p>
        </w:tc>
        <w:tc>
          <w:tcPr>
            <w:tcW w:type="dxa" w:w="936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11</w:t>
            </w:r>
          </w:p>
        </w:tc>
        <w:tc>
          <w:tcPr>
            <w:tcW w:type="dxa" w:w="936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2</w:t>
            </w:r>
          </w:p>
        </w:tc>
        <w:tc>
          <w:tcPr>
            <w:tcW w:type="dxa" w:w="936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6</w:t>
            </w:r>
          </w:p>
        </w:tc>
        <w:tc>
          <w:tcPr>
            <w:tcW w:type="dxa" w:w="936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1</w:t>
            </w:r>
          </w:p>
        </w:tc>
        <w:tc>
          <w:tcPr>
            <w:tcW w:type="dxa" w:w="936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4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Allocation and Counseling Guidelines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Admission Channel: Centralized Joint Admission Test for Masters (IIT JAM).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Reservation Norms: Allocations strictly adhere to Government of India reservation policies for Gen-EWS, OBC-NCL, SC, ST, and Persons with Disabilities (PwD).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Supernumerary Provisions: Relevant horizontal reservations for PwD candidates are allocated within corresponding parent categories.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Canonical Institution: </w:t>
      </w:r>
      <w:hyperlink r:id="rId9">
        <w:r>
          <w:rPr>
            <w:color w:val="004B87"/>
            <w:u w:val="single"/>
          </w:rPr>
          <w:t xml:space="preserve">Indian Institute of Technology Jodhpur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9">
        <w:r>
          <w:rPr>
            <w:color w:val="004B87"/>
            <w:u w:val="single"/>
          </w:rPr>
          <w:t xml:space="preserve">https://iitj.ac.in/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0">
        <w:r>
          <w:rPr>
            <w:color w:val="004B87"/>
            <w:u w:val="single"/>
          </w:rPr>
          <w:t xml:space="preserve">https://iitj.ac.in/academics/misc.php?id=advertisements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Traceable Knowledge Units: </w:t>
      </w:r>
      <w:r>
        <w:rPr>
          <w:rFonts w:ascii="Consolas" w:hAnsi="Consolas"/>
          <w:color w:val="333333"/>
          <w:sz w:val="19"/>
        </w:rPr>
        <w:t>dda404cad0004bb6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iitj.ac.in/" TargetMode="External"/><Relationship Id="rId10" Type="http://schemas.openxmlformats.org/officeDocument/2006/relationships/hyperlink" Target="https://iitj.ac.in/academics/misc.php?id=advertisements](https://iitj.ac.in/academics/misc.php?id=advertisements](https://iitj.ac.in/academics/misc.php?id=advertisemen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