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Admission to M.Tech. – Ph.D. Dual Degree Programme</w:t>
      </w:r>
    </w:p>
    <w:p>
      <w:pPr>
        <w:spacing w:before="0" w:after="280"/>
      </w:pPr>
      <w:r>
        <w:rPr>
          <w:rFonts w:ascii="Calibri" w:hAnsi="Calibri"/>
          <w:i/>
          <w:color w:val="666666"/>
          <w:sz w:val="20"/>
        </w:rPr>
        <w:t>Indian Institute of Technology Jodhpur  |  Category: admissions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admission criteria and eligibility guidelines for the integrated M.Tech. – Ph.D. Dual Degree Programme at Indian Institute of Technology Jodhpur.</w:t>
      </w:r>
    </w:p>
    <w:p>
      <w:pPr>
        <w:keepNext/>
        <w:spacing w:before="280" w:after="80"/>
      </w:pPr>
      <w:r>
        <w:rPr>
          <w:rFonts w:ascii="Calibri" w:hAnsi="Calibri"/>
          <w:color w:val="003366"/>
          <w:sz w:val="26"/>
        </w:rPr>
        <w:t>20.2.5 Admission Requirements (Regular)</w:t>
      </w:r>
    </w:p>
    <w:p>
      <w:pPr>
        <w:spacing w:before="0" w:after="100" w:line="276" w:lineRule="auto"/>
      </w:pPr>
      <w:r>
        <w:rPr>
          <w:rFonts w:ascii="Calibri" w:hAnsi="Calibri"/>
          <w:sz w:val="20"/>
        </w:rPr>
        <w:t>Candidates applying for the integrated M.Tech. – Ph.D. Dual Degree programme must satisfy the following conditions:</w:t>
      </w:r>
    </w:p>
    <w:p>
      <w:pPr>
        <w:pStyle w:val="ListBullet"/>
        <w:spacing w:before="20" w:after="40"/>
      </w:pPr>
      <w:r>
        <w:rPr>
          <w:rFonts w:ascii="Calibri" w:hAnsi="Calibri"/>
          <w:sz w:val="20"/>
        </w:rPr>
        <w:t>Qualifying Degree: Bachelor’s degree in engineering or science (4-year programme) or a Master’s degree in science, MCA, Pharmacy, Medical Sciences, Agricultural Sciences, or related fields.</w:t>
      </w:r>
    </w:p>
    <w:p>
      <w:pPr>
        <w:pStyle w:val="ListBullet"/>
        <w:spacing w:before="20" w:after="40"/>
      </w:pPr>
      <w:r>
        <w:rPr>
          <w:rFonts w:ascii="Calibri" w:hAnsi="Calibri"/>
          <w:sz w:val="20"/>
        </w:rPr>
        <w:t>Minimum Academic Score: Minimum 60% marks for GEN/GEN-EWS/OBC (55% for SC/ST/PwD) in aggregate, or a minimum CGPA of 6.0 on a 10-point scale (5.5 for SC/ST/PwD).</w:t>
      </w:r>
    </w:p>
    <w:p>
      <w:pPr>
        <w:pStyle w:val="ListBullet"/>
        <w:spacing w:before="20" w:after="40"/>
      </w:pPr>
      <w:r>
        <w:rPr>
          <w:rFonts w:ascii="Calibri" w:hAnsi="Calibri"/>
          <w:sz w:val="20"/>
        </w:rPr>
        <w:t>National Examination Qualification: Valid GATE score, or exemption from GATE as per Ministry of Education circulars for CFTI graduates, or qualification in an equivalent National Examination, or qualifying performance in departmental written tests and technical interviews conducted by IIT Jodhpur.</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https://iitj.ac.in/</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https://www.iitj.ac.in/materials-engineering/en/regulations</w:t>
        </w:r>
      </w:hyperlink>
    </w:p>
    <w:p>
      <w:pPr>
        <w:pStyle w:val="ListBullet"/>
        <w:spacing w:before="20" w:after="40"/>
      </w:pPr>
      <w:r>
        <w:rPr>
          <w:rFonts w:ascii="Calibri" w:hAnsi="Calibri"/>
          <w:sz w:val="20"/>
        </w:rPr>
        <w:t xml:space="preserve">Traceable Knowledge Units: </w:t>
      </w:r>
      <w:r>
        <w:rPr>
          <w:rFonts w:ascii="Consolas" w:hAnsi="Consolas"/>
          <w:color w:val="333333"/>
          <w:sz w:val="19"/>
        </w:rPr>
        <w:t>329ac7e60bbb8fcf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materials-engineering/en/regulations](https://www.iitj.ac.in/materials-engineering/en/regulations](https://www.iitj.ac.in/materials-engineering/en/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