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003366"/>
          <w:sz w:val="40"/>
        </w:rPr>
        <w:t>Primary Health Centre (PHC) &amp; Medical Services</w:t>
      </w:r>
    </w:p>
    <w:p>
      <w:pPr>
        <w:spacing w:before="0" w:after="280"/>
      </w:pPr>
      <w:r>
        <w:rPr>
          <w:rFonts w:ascii="Calibri" w:hAnsi="Calibri"/>
          <w:i/>
          <w:color w:val="666666"/>
          <w:sz w:val="20"/>
        </w:rPr>
        <w:t>Indian Institute of Technology Jodhpur  |  Category: campus_and_student_services</w:t>
      </w:r>
    </w:p>
    <w:p>
      <w:pPr>
        <w:keepNext/>
        <w:spacing w:before="280" w:after="80"/>
      </w:pPr>
      <w:r>
        <w:rPr>
          <w:rFonts w:ascii="Calibri" w:hAnsi="Calibri"/>
          <w:color w:val="003366"/>
          <w:sz w:val="26"/>
        </w:rPr>
        <w:t>Scope</w:t>
      </w:r>
    </w:p>
    <w:p>
      <w:pPr>
        <w:spacing w:before="0" w:after="100" w:line="276" w:lineRule="auto"/>
      </w:pPr>
      <w:r>
        <w:rPr>
          <w:rFonts w:ascii="Calibri" w:hAnsi="Calibri"/>
          <w:sz w:val="20"/>
        </w:rPr>
        <w:t>Authoritative institutional knowledge for Primary Health Centre (PHC) &amp; Medical Services at Indian Institute of Technology Jodhpur.</w:t>
      </w:r>
    </w:p>
    <w:p>
      <w:pPr>
        <w:keepNext/>
        <w:spacing w:before="280" w:after="80"/>
      </w:pPr>
      <w:r>
        <w:rPr>
          <w:rFonts w:ascii="Calibri" w:hAnsi="Calibri"/>
          <w:color w:val="003366"/>
          <w:sz w:val="26"/>
        </w:rPr>
        <w:t>Healthcare Infrastructure &amp; 24/7 Operations</w:t>
      </w:r>
    </w:p>
    <w:p>
      <w:pPr>
        <w:spacing w:before="0" w:after="100" w:line="276" w:lineRule="auto"/>
      </w:pPr>
      <w:r>
        <w:rPr>
          <w:rFonts w:ascii="Calibri" w:hAnsi="Calibri"/>
          <w:sz w:val="20"/>
        </w:rPr>
        <w:t>The Health Centre (HC) at the Permanent Campus of IIT Jodhpur operates 24/7 to provide primary medical care, outpatient services, and emergency stabilization to students, faculty, staff members, registered dependents, and campus residents.</w:t>
      </w:r>
    </w:p>
    <w:p>
      <w:pPr>
        <w:spacing w:before="0" w:after="100" w:line="276" w:lineRule="auto"/>
      </w:pPr>
      <w:r>
        <w:rPr>
          <w:rFonts w:ascii="Calibri" w:hAnsi="Calibri"/>
          <w:sz w:val="20"/>
        </w:rPr>
        <w:t>The Health Centre is supervised by the Professor-in-Charge Health Center (PIC-HC) and Institute Medical Officers, advised by the Medical Service User's Committee (MSUC).</w:t>
      </w:r>
    </w:p>
    <w:p>
      <w:pPr>
        <w:keepNext/>
        <w:spacing w:before="280" w:after="80"/>
      </w:pPr>
      <w:r>
        <w:rPr>
          <w:rFonts w:ascii="Calibri" w:hAnsi="Calibri"/>
          <w:color w:val="003366"/>
          <w:sz w:val="26"/>
        </w:rPr>
        <w:t>Clinical Facilities &amp; In-House Services</w:t>
      </w:r>
    </w:p>
    <w:p>
      <w:pPr>
        <w:spacing w:before="0" w:after="100" w:line="276" w:lineRule="auto"/>
      </w:pPr>
      <w:r>
        <w:rPr>
          <w:rFonts w:ascii="Calibri" w:hAnsi="Calibri"/>
          <w:sz w:val="20"/>
        </w:rPr>
        <w:t>The Health Centre offers comprehensive on-campus medical amenities:</w:t>
      </w:r>
    </w:p>
    <w:p>
      <w:pPr>
        <w:pStyle w:val="ListNumber"/>
        <w:spacing w:before="20" w:after="40"/>
      </w:pPr>
      <w:r>
        <w:rPr>
          <w:rFonts w:ascii="Calibri" w:hAnsi="Calibri"/>
          <w:b/>
          <w:sz w:val="20"/>
        </w:rPr>
        <w:t>24x7 Medical Officers &amp; Nursing Officers</w:t>
      </w:r>
      <w:r>
        <w:rPr>
          <w:rFonts w:ascii="Calibri" w:hAnsi="Calibri"/>
          <w:sz w:val="20"/>
        </w:rPr>
        <w:t>: Rotating medical staff providing round-the-clock emergency and clinical coverage.</w:t>
      </w:r>
    </w:p>
    <w:p>
      <w:pPr>
        <w:pStyle w:val="ListNumber"/>
        <w:spacing w:before="20" w:after="40"/>
      </w:pPr>
      <w:r>
        <w:rPr>
          <w:rFonts w:ascii="Calibri" w:hAnsi="Calibri"/>
          <w:b/>
          <w:sz w:val="20"/>
        </w:rPr>
        <w:t>In-House Pharmacy</w:t>
      </w:r>
      <w:r>
        <w:rPr>
          <w:rFonts w:ascii="Calibri" w:hAnsi="Calibri"/>
          <w:sz w:val="20"/>
        </w:rPr>
        <w:t>: Dispensing essential prescription medications and emergency medicines directly on campus.</w:t>
      </w:r>
    </w:p>
    <w:p>
      <w:pPr>
        <w:pStyle w:val="ListNumber"/>
        <w:spacing w:before="20" w:after="40"/>
      </w:pPr>
      <w:r>
        <w:rPr>
          <w:rFonts w:ascii="Calibri" w:hAnsi="Calibri"/>
          <w:b/>
          <w:sz w:val="20"/>
        </w:rPr>
        <w:t>Diagnostic Laboratory &amp; Testing</w:t>
      </w:r>
      <w:r>
        <w:rPr>
          <w:rFonts w:ascii="Calibri" w:hAnsi="Calibri"/>
          <w:sz w:val="20"/>
        </w:rPr>
        <w:t>: Pathology, routine diagnostics, and medical screening tests.</w:t>
      </w:r>
    </w:p>
    <w:p>
      <w:pPr>
        <w:pStyle w:val="ListNumber"/>
        <w:spacing w:before="20" w:after="40"/>
      </w:pPr>
      <w:r>
        <w:rPr>
          <w:rFonts w:ascii="Calibri" w:hAnsi="Calibri"/>
          <w:b/>
          <w:sz w:val="20"/>
        </w:rPr>
        <w:t>Physiotherapy Unit</w:t>
      </w:r>
      <w:r>
        <w:rPr>
          <w:rFonts w:ascii="Calibri" w:hAnsi="Calibri"/>
          <w:sz w:val="20"/>
        </w:rPr>
        <w:t>: Rehabilitation and musculoskeletal treatment.</w:t>
      </w:r>
    </w:p>
    <w:p>
      <w:pPr>
        <w:pStyle w:val="ListNumber"/>
        <w:spacing w:before="20" w:after="40"/>
      </w:pPr>
      <w:r>
        <w:rPr>
          <w:rFonts w:ascii="Calibri" w:hAnsi="Calibri"/>
          <w:b/>
          <w:sz w:val="20"/>
        </w:rPr>
        <w:t>Emergency &amp; Daycare Wards</w:t>
      </w:r>
      <w:r>
        <w:rPr>
          <w:rFonts w:ascii="Calibri" w:hAnsi="Calibri"/>
          <w:sz w:val="20"/>
        </w:rPr>
        <w:t>: Dedicated 24x7 Emergency Room, Daycare Room, and separate male and female observation and isolation wards.</w:t>
      </w:r>
    </w:p>
    <w:p>
      <w:pPr>
        <w:pStyle w:val="ListNumber"/>
        <w:spacing w:before="20" w:after="40"/>
      </w:pPr>
      <w:r>
        <w:rPr>
          <w:rFonts w:ascii="Calibri" w:hAnsi="Calibri"/>
          <w:b/>
          <w:sz w:val="20"/>
        </w:rPr>
        <w:t>Ambulance Services</w:t>
      </w:r>
      <w:r>
        <w:rPr>
          <w:rFonts w:ascii="Calibri" w:hAnsi="Calibri"/>
          <w:sz w:val="20"/>
        </w:rPr>
        <w:t>: 01 Advanced Cardiac Life Support (ACLS) ambulance and 01 Basic Life Support (BLS) ambulance stationed on campus 24/7 for emergency hospital transit.</w:t>
      </w:r>
    </w:p>
    <w:p>
      <w:pPr>
        <w:pStyle w:val="ListNumber"/>
        <w:spacing w:before="20" w:after="40"/>
      </w:pPr>
      <w:r>
        <w:rPr>
          <w:rFonts w:ascii="Calibri" w:hAnsi="Calibri"/>
          <w:b/>
          <w:sz w:val="20"/>
        </w:rPr>
        <w:t>Alternative Medicine Consultations</w:t>
      </w:r>
      <w:r>
        <w:rPr>
          <w:rFonts w:ascii="Calibri" w:hAnsi="Calibri"/>
          <w:sz w:val="20"/>
        </w:rPr>
        <w:t>: Visiting Ayurvedic, Homeopathic, and Naturopathic consultants holding weekly clinics.</w:t>
      </w:r>
    </w:p>
    <w:p>
      <w:pPr>
        <w:keepNext/>
        <w:spacing w:before="280" w:after="80"/>
      </w:pPr>
      <w:r>
        <w:rPr>
          <w:rFonts w:ascii="Calibri" w:hAnsi="Calibri"/>
          <w:color w:val="003366"/>
          <w:sz w:val="26"/>
        </w:rPr>
        <w:t>Specialist Doctor Clinics</w:t>
      </w:r>
    </w:p>
    <w:p>
      <w:pPr>
        <w:spacing w:before="0" w:after="100" w:line="276" w:lineRule="auto"/>
      </w:pPr>
      <w:r>
        <w:rPr>
          <w:rFonts w:ascii="Calibri" w:hAnsi="Calibri"/>
          <w:sz w:val="20"/>
        </w:rPr>
        <w:t>In addition to resident Medical Officers, specialist physicians conduct weekly outpatient clinics on campus: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Internal Medicine / MD Physician</w:t>
      </w:r>
      <w:r>
        <w:rPr>
          <w:rFonts w:ascii="Calibri" w:hAnsi="Calibri"/>
          <w:sz w:val="20"/>
        </w:rPr>
        <w:t>: Available daily (except Sundays) from 3:30 PM to 7:00 PM.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Specialists</w:t>
      </w:r>
      <w:r>
        <w:rPr>
          <w:rFonts w:ascii="Calibri" w:hAnsi="Calibri"/>
          <w:sz w:val="20"/>
        </w:rPr>
        <w:t>: Regular weekly visits by specialists in Psychiatry, Gynaecology &amp; Obstetrics, Paediatrics, ENT, Orthopaedics, and Dental Services.</w:t>
      </w:r>
    </w:p>
    <w:p>
      <w:pPr>
        <w:keepNext/>
        <w:spacing w:before="280" w:after="80"/>
      </w:pPr>
      <w:r>
        <w:rPr>
          <w:rFonts w:ascii="Calibri" w:hAnsi="Calibri"/>
          <w:color w:val="003366"/>
          <w:sz w:val="26"/>
        </w:rPr>
        <w:t>Institute Medical Officers</w:t>
      </w:r>
    </w:p>
    <w:p>
      <w:pPr>
        <w:spacing w:before="0" w:after="100" w:line="276" w:lineRule="auto"/>
      </w:pPr>
      <w:r>
        <w:rPr>
          <w:rFonts w:ascii="Calibri" w:hAnsi="Calibri"/>
          <w:sz w:val="20"/>
        </w:rPr>
        <w:t>The primary medical team includes resident Institute Medical Officers: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Dr. Anukriti Kumari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Dr. Bhuvnesh Kumar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Dr. Gaurav Kumar Viswas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Dr. Hemant Joshi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Dr. Neha Sharma</w:t>
      </w:r>
    </w:p>
    <w:p>
      <w:pPr>
        <w:keepNext/>
        <w:spacing w:before="280" w:after="80"/>
      </w:pPr>
      <w:r>
        <w:rPr>
          <w:rFonts w:ascii="Calibri" w:hAnsi="Calibri"/>
          <w:color w:val="003366"/>
          <w:sz w:val="26"/>
        </w:rPr>
        <w:t>Empanelled Hospital Network &amp; Cashless IPD</w:t>
      </w:r>
    </w:p>
    <w:p>
      <w:pPr>
        <w:spacing w:before="0" w:after="100" w:line="276" w:lineRule="auto"/>
      </w:pPr>
      <w:r>
        <w:rPr>
          <w:rFonts w:ascii="Calibri" w:hAnsi="Calibri"/>
          <w:sz w:val="20"/>
        </w:rPr>
        <w:t>For specialized tertiary care and secondary hospitalization, IIT Jodhpur maintains formal agreements with leading multi-specialty hospitals in Jodhpur:</w:t>
      </w:r>
    </w:p>
    <w:p>
      <w:pPr>
        <w:pStyle w:val="ListNumber"/>
        <w:spacing w:before="20" w:after="40"/>
      </w:pPr>
      <w:r>
        <w:rPr>
          <w:rFonts w:ascii="Calibri" w:hAnsi="Calibri"/>
          <w:b/>
          <w:sz w:val="20"/>
        </w:rPr>
        <w:t>AIIMS Jodhpur</w:t>
      </w:r>
    </w:p>
    <w:p>
      <w:pPr>
        <w:pStyle w:val="ListNumber"/>
        <w:spacing w:before="20" w:after="40"/>
      </w:pPr>
      <w:r>
        <w:rPr>
          <w:rFonts w:ascii="Calibri" w:hAnsi="Calibri"/>
          <w:b/>
          <w:sz w:val="20"/>
        </w:rPr>
        <w:t>Goyal Hospital and Research Centre</w:t>
      </w:r>
    </w:p>
    <w:p>
      <w:pPr>
        <w:pStyle w:val="ListNumber"/>
        <w:spacing w:before="20" w:after="40"/>
      </w:pPr>
      <w:r>
        <w:rPr>
          <w:rFonts w:ascii="Calibri" w:hAnsi="Calibri"/>
          <w:b/>
          <w:sz w:val="20"/>
        </w:rPr>
        <w:t>MediPulse Hospital</w:t>
      </w:r>
    </w:p>
    <w:p>
      <w:pPr>
        <w:pStyle w:val="ListNumber"/>
        <w:spacing w:before="20" w:after="40"/>
      </w:pPr>
      <w:r>
        <w:rPr>
          <w:rFonts w:ascii="Calibri" w:hAnsi="Calibri"/>
          <w:b/>
          <w:sz w:val="20"/>
        </w:rPr>
        <w:t>ASG Eye Hospital</w:t>
      </w:r>
    </w:p>
    <w:p>
      <w:pPr>
        <w:pStyle w:val="ListNumber"/>
        <w:spacing w:before="20" w:after="40"/>
      </w:pPr>
      <w:r>
        <w:rPr>
          <w:rFonts w:ascii="Calibri" w:hAnsi="Calibri"/>
          <w:b/>
          <w:sz w:val="20"/>
        </w:rPr>
        <w:t>Vasundhara Hospital</w:t>
      </w:r>
    </w:p>
    <w:p>
      <w:pPr>
        <w:spacing w:before="0" w:after="100" w:line="276" w:lineRule="auto"/>
      </w:pPr>
      <w:r>
        <w:rPr>
          <w:rFonts w:ascii="Calibri" w:hAnsi="Calibri"/>
          <w:sz w:val="20"/>
        </w:rPr>
        <w:t>The Institute Health Centre coordinates admissions, treatment monitoring, and cashless IPD facilities for eligible students and employees.</w:t>
      </w:r>
    </w:p>
    <w:p>
      <w:pPr>
        <w:keepNext/>
        <w:spacing w:before="280" w:after="80"/>
      </w:pPr>
      <w:r>
        <w:rPr>
          <w:rFonts w:ascii="Calibri" w:hAnsi="Calibri"/>
          <w:color w:val="003366"/>
          <w:sz w:val="26"/>
        </w:rPr>
        <w:t>Emergency Contact Numbers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03366"/>
          </w:tcPr>
          <w:p>
            <w:pPr>
              <w:spacing w:before="60" w:after="60"/>
            </w:pPr>
            <w:r>
              <w:rPr>
                <w:rFonts w:ascii="Calibri" w:hAnsi="Calibri"/>
                <w:color w:val="FFFFFF"/>
                <w:sz w:val="19"/>
              </w:rPr>
              <w:t>Facility Desk</w:t>
            </w:r>
          </w:p>
        </w:tc>
        <w:tc>
          <w:tcPr>
            <w:tcW w:type="dxa" w:w="3120"/>
            <w:shd w:fill="003366"/>
          </w:tcPr>
          <w:p>
            <w:pPr>
              <w:spacing w:before="60" w:after="60"/>
            </w:pPr>
            <w:r>
              <w:rPr>
                <w:rFonts w:ascii="Calibri" w:hAnsi="Calibri"/>
                <w:color w:val="FFFFFF"/>
                <w:sz w:val="19"/>
              </w:rPr>
              <w:t>Official Telephone Number</w:t>
            </w:r>
          </w:p>
        </w:tc>
        <w:tc>
          <w:tcPr>
            <w:tcW w:type="dxa" w:w="3120"/>
            <w:shd w:fill="003366"/>
          </w:tcPr>
          <w:p>
            <w:pPr>
              <w:spacing w:before="60" w:after="60"/>
            </w:pPr>
            <w:r>
              <w:rPr>
                <w:rFonts w:ascii="Calibri" w:hAnsi="Calibri"/>
                <w:color w:val="FFFFFF"/>
                <w:sz w:val="19"/>
              </w:rPr>
              <w:t>Service Hours</w:t>
            </w:r>
          </w:p>
        </w:tc>
      </w:tr>
      <w:tr>
        <w:tc>
          <w:tcPr>
            <w:tcW w:type="dxa" w:w="312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PHC Reception / Emergency Help Desk</w:t>
            </w:r>
          </w:p>
        </w:tc>
        <w:tc>
          <w:tcPr>
            <w:tcW w:type="dxa" w:w="312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0291 280 1190</w:t>
            </w:r>
          </w:p>
        </w:tc>
        <w:tc>
          <w:tcPr>
            <w:tcW w:type="dxa" w:w="312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24 Hours / 7 Days</w:t>
            </w:r>
          </w:p>
        </w:tc>
      </w:tr>
      <w:tr>
        <w:tc>
          <w:tcPr>
            <w:tcW w:type="dxa" w:w="312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Medical Officers OPD 1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0291 280 1178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Regular OPD Hours</w:t>
            </w:r>
          </w:p>
        </w:tc>
      </w:tr>
      <w:tr>
        <w:tc>
          <w:tcPr>
            <w:tcW w:type="dxa" w:w="312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In-House Pharmacy</w:t>
            </w:r>
          </w:p>
        </w:tc>
        <w:tc>
          <w:tcPr>
            <w:tcW w:type="dxa" w:w="312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0291 280 1183</w:t>
            </w:r>
          </w:p>
        </w:tc>
        <w:tc>
          <w:tcPr>
            <w:tcW w:type="dxa" w:w="312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Day &amp; Evening Shift</w:t>
            </w:r>
          </w:p>
        </w:tc>
      </w:tr>
      <w:tr>
        <w:tc>
          <w:tcPr>
            <w:tcW w:type="dxa" w:w="312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Diagnostic Laboratory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0291 280 1186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Morning &amp; Afternoon Shift</w:t>
            </w:r>
          </w:p>
        </w:tc>
      </w:tr>
      <w:tr>
        <w:tc>
          <w:tcPr>
            <w:tcW w:type="dxa" w:w="312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Chief Medical Officer / PHC Office</w:t>
            </w:r>
          </w:p>
        </w:tc>
        <w:tc>
          <w:tcPr>
            <w:tcW w:type="dxa" w:w="312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0291 280 1184</w:t>
            </w:r>
          </w:p>
        </w:tc>
        <w:tc>
          <w:tcPr>
            <w:tcW w:type="dxa" w:w="312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Office Working Hours</w:t>
            </w:r>
          </w:p>
        </w:tc>
      </w:tr>
      <w:tr>
        <w:tc>
          <w:tcPr>
            <w:tcW w:type="dxa" w:w="312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National Emergency Ambulance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108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24 Hours</w:t>
            </w:r>
          </w:p>
        </w:tc>
      </w:tr>
    </w:tbl>
    <w:p>
      <w:pPr>
        <w:spacing w:before="0" w:after="120"/>
      </w:pPr>
    </w:p>
    <w:p>
      <w:pPr>
        <w:keepNext/>
        <w:spacing w:before="280" w:after="80"/>
      </w:pPr>
      <w:r>
        <w:rPr>
          <w:rFonts w:ascii="Calibri" w:hAnsi="Calibri"/>
          <w:color w:val="003366"/>
          <w:sz w:val="26"/>
        </w:rPr>
        <w:t>Official Sources and Provenance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Canonical Institution: </w:t>
      </w:r>
      <w:hyperlink r:id="rId9">
        <w:r>
          <w:rPr>
            <w:color w:val="004B87"/>
            <w:u w:val="single"/>
          </w:rPr>
          <w:t xml:space="preserve">Indian Institute of Technology Jodhpur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10">
        <w:r>
          <w:rPr>
            <w:color w:val="004B87"/>
            <w:u w:val="single"/>
          </w:rPr>
          <w:t xml:space="preserve">https://www.iitj.ac.in/health-center/en/health-center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11">
        <w:r>
          <w:rPr>
            <w:color w:val="004B87"/>
            <w:u w:val="single"/>
          </w:rPr>
          <w:t xml:space="preserve">https://www.iitj.ac.in/health-center/en/contact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12">
        <w:r>
          <w:rPr>
            <w:color w:val="004B87"/>
            <w:u w:val="single"/>
          </w:rPr>
          <w:t xml:space="preserve">https://www.iitj.ac.in/health-center/en/empanelled-hospitals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Traceable Knowledge Units: </w:t>
      </w:r>
      <w:r>
        <w:rPr>
          <w:rFonts w:ascii="Consolas" w:hAnsi="Consolas"/>
          <w:color w:val="333333"/>
          <w:sz w:val="19"/>
        </w:rPr>
        <w:t>a24dd7f8a1b30d83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iitj.ac.in/" TargetMode="External"/><Relationship Id="rId10" Type="http://schemas.openxmlformats.org/officeDocument/2006/relationships/hyperlink" Target="https://www.iitj.ac.in/health-center/en/health-center" TargetMode="External"/><Relationship Id="rId11" Type="http://schemas.openxmlformats.org/officeDocument/2006/relationships/hyperlink" Target="https://www.iitj.ac.in/health-center/en/contact" TargetMode="External"/><Relationship Id="rId12" Type="http://schemas.openxmlformats.org/officeDocument/2006/relationships/hyperlink" Target="https://www.iitj.ac.in/health-center/en/empanelled-hospital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