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Sustainability</w:t>
      </w:r>
    </w:p>
    <w:p>
      <w:pPr>
        <w:spacing w:before="0" w:after="280"/>
      </w:pPr>
      <w:r>
        <w:rPr>
          <w:rFonts w:ascii="Calibri" w:hAnsi="Calibri"/>
          <w:i/>
          <w:color w:val="666666"/>
          <w:sz w:val="20"/>
        </w:rPr>
        <w:t>Indian Institute of Technology Jodhpur  |  Category: campus_and_student_services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Sustainability at Indian Institute of Technology Jodhpur.</w:t>
      </w:r>
    </w:p>
    <w:p>
      <w:pPr>
        <w:keepNext/>
        <w:spacing w:before="280" w:after="80"/>
      </w:pPr>
      <w:r>
        <w:rPr>
          <w:rFonts w:ascii="Calibri" w:hAnsi="Calibri"/>
          <w:color w:val="003366"/>
          <w:sz w:val="26"/>
        </w:rPr>
        <w:t>Waste</w:t>
      </w:r>
    </w:p>
    <w:p>
      <w:pPr>
        <w:spacing w:before="0" w:after="100" w:line="276" w:lineRule="auto"/>
      </w:pPr>
      <w:r>
        <w:rPr>
          <w:rFonts w:ascii="Calibri" w:hAnsi="Calibri"/>
          <w:sz w:val="20"/>
        </w:rPr>
        <w:t>This campus will create a zero solid waste regime by segregating waste at source and managing each stream appropriately so that the mixed waste for landfill is eliminated.</w:t>
      </w:r>
    </w:p>
    <w:p>
      <w:pPr>
        <w:spacing w:before="0" w:after="100" w:line="276" w:lineRule="auto"/>
      </w:pPr>
      <w:r>
        <w:rPr>
          <w:rFonts w:ascii="Calibri" w:hAnsi="Calibri"/>
          <w:sz w:val="20"/>
        </w:rPr>
        <w:t>The campus will create positive value for recyclables such as paper, glass, reusable plastics and metals, isolates hazardous wastes (chemical or biological) for specialized disposal by certified recyclers, and stacks e-waste and the small quantity of mixed waste in stores for specialized disposal by progressively establishing the new Research Cluster for e-waste and mixed waste recycling and increasing this recycling capacity on site.</w:t>
      </w:r>
    </w:p>
    <w:p>
      <w:pPr>
        <w:keepNext/>
        <w:spacing w:before="280" w:after="80"/>
      </w:pPr>
      <w:r>
        <w:rPr>
          <w:rFonts w:ascii="Calibri" w:hAnsi="Calibri"/>
          <w:color w:val="003366"/>
          <w:sz w:val="26"/>
        </w:rPr>
        <w:t>Water</w:t>
      </w:r>
    </w:p>
    <w:p>
      <w:pPr>
        <w:spacing w:before="0" w:after="100" w:line="276" w:lineRule="auto"/>
      </w:pPr>
      <w:r>
        <w:rPr>
          <w:rFonts w:ascii="Calibri" w:hAnsi="Calibri"/>
          <w:sz w:val="20"/>
        </w:rPr>
        <w:t>In this extremely water-scarce area, all the roof/ surface runoff is stored in cisterns. The campus can be made a zero water-demanding campus by storing all the runoff from areas on the ground in large cisterns so as not to merge with the saline aquifer (which cannot be tapped due to its being located in a distressed zone). Therefore, while a possibility, the targeted zero-water regime is proposed to be modified to create a very low water regime as below.</w:t>
      </w:r>
    </w:p>
    <w:p>
      <w:pPr>
        <w:spacing w:before="0" w:after="100" w:line="276" w:lineRule="auto"/>
      </w:pPr>
      <w:r>
        <w:rPr>
          <w:rFonts w:ascii="Calibri" w:hAnsi="Calibri"/>
          <w:sz w:val="20"/>
        </w:rPr>
        <w:t>The water consumption of this campus is reduced notably with efficient fixtures, semi-automated irrigation systems, native plantation, extensive recycling and reuse of sewage, rainwater harvesting, storage and recharge, and encouraging a low water lifestyle.</w:t>
      </w:r>
    </w:p>
    <w:p>
      <w:pPr>
        <w:spacing w:before="0" w:after="100" w:line="276" w:lineRule="auto"/>
      </w:pPr>
      <w:r>
        <w:rPr>
          <w:rFonts w:ascii="Calibri" w:hAnsi="Calibri"/>
          <w:sz w:val="20"/>
        </w:rPr>
        <w:t>Taking into account the treated water recharge for some seasons and increased rainwater recharge, this campus is a net-zero water campus. Over a period of years, as soil moisture improves and salinity of the aquifer reduces, the remainder white water needs may also be met by groundwater, thus making it an autonomous zero-water-demanding campus, provided groundwater extraction is allowed in the future.</w:t>
      </w:r>
    </w:p>
    <w:p>
      <w:pPr>
        <w:spacing w:before="0" w:after="100" w:line="276" w:lineRule="auto"/>
      </w:pPr>
      <w:r>
        <w:rPr>
          <w:rFonts w:ascii="Calibri" w:hAnsi="Calibri"/>
          <w:sz w:val="20"/>
        </w:rPr>
        <w:t>The rainfall management system creates a very large storage capacity of roof runoff for water security.</w:t>
      </w:r>
    </w:p>
    <w:p>
      <w:pPr>
        <w:keepNext/>
        <w:spacing w:before="280" w:after="80"/>
      </w:pPr>
      <w:r>
        <w:rPr>
          <w:rFonts w:ascii="Calibri" w:hAnsi="Calibri"/>
          <w:color w:val="003366"/>
          <w:sz w:val="26"/>
        </w:rPr>
        <w:t>Sustainability Policy</w:t>
      </w:r>
    </w:p>
    <w:p>
      <w:pPr>
        <w:spacing w:before="0" w:after="100" w:line="276" w:lineRule="auto"/>
      </w:pPr>
      <w:r>
        <w:rPr>
          <w:rFonts w:ascii="Calibri" w:hAnsi="Calibri"/>
          <w:sz w:val="20"/>
        </w:rPr>
        <w:t>The unique master plan of IIT Jodhpur conceptualizes the workings of all parts of the campus as an interlocking, integral network of complex dynamic systems, like the metabolism of a living organism.</w:t>
      </w:r>
    </w:p>
    <w:p>
      <w:pPr>
        <w:spacing w:before="0" w:after="100" w:line="276" w:lineRule="auto"/>
      </w:pPr>
      <w:r>
        <w:rPr>
          <w:rFonts w:ascii="Calibri" w:hAnsi="Calibri"/>
          <w:sz w:val="20"/>
        </w:rPr>
        <w:t>This meta-system shall be actively studied and monitored (partly to generate intelligent control instructions and partly to mine data) and, in that sense, is a settlement evolving through trials and tests, a “Living Laboratory”.</w:t>
      </w:r>
    </w:p>
    <w:p>
      <w:pPr>
        <w:spacing w:before="0" w:after="100" w:line="276" w:lineRule="auto"/>
      </w:pPr>
      <w:r>
        <w:rPr>
          <w:rFonts w:ascii="Calibri" w:hAnsi="Calibri"/>
          <w:sz w:val="20"/>
        </w:rPr>
        <w:t>The ideas for this “Smart Intelligent Eco-campus” encompass the ideals of social, economic, and environmental sustainability, and integrate aspects of landscape and biodiversity, food, water, and waste, solid waste, mobility, energy, and ICT to create an intricate life-like system of campus metabolism</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https://www.iitj.ac.in/main/en/sustainability-policy</w:t>
        </w:r>
      </w:hyperlink>
    </w:p>
    <w:p>
      <w:pPr>
        <w:pStyle w:val="ListBullet"/>
        <w:spacing w:before="20" w:after="40"/>
      </w:pPr>
      <w:r>
        <w:rPr>
          <w:rFonts w:ascii="Calibri" w:hAnsi="Calibri"/>
          <w:sz w:val="20"/>
        </w:rPr>
        <w:t xml:space="preserve">Traceable Knowledge Units: </w:t>
      </w:r>
      <w:r>
        <w:rPr>
          <w:rFonts w:ascii="Consolas" w:hAnsi="Consolas"/>
          <w:color w:val="333333"/>
          <w:sz w:val="19"/>
        </w:rPr>
        <w:t>06ab3cb1cb2a8202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main/en/sustainabilit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