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Aerospace Engineering — General Information</w:t>
      </w:r>
    </w:p>
    <w:p>
      <w:pPr>
        <w:spacing w:before="0" w:after="280"/>
      </w:pPr>
      <w:r>
        <w:rPr>
          <w:rFonts w:ascii="Calibri" w:hAnsi="Calibri"/>
          <w:i/>
          <w:color w:val="666666"/>
          <w:sz w:val="20"/>
        </w:rPr>
        <w:t>Indian Institute of Technology Jodhpur  |  Category: departments/aerospace_engineering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Aerospace Engineering — General Information at Indian Institute of Technology Jodhpur.</w:t>
      </w:r>
    </w:p>
    <w:p>
      <w:pPr>
        <w:keepNext/>
        <w:spacing w:before="280" w:after="80"/>
      </w:pPr>
      <w:r>
        <w:rPr>
          <w:rFonts w:ascii="Calibri" w:hAnsi="Calibri"/>
          <w:color w:val="003366"/>
          <w:sz w:val="26"/>
        </w:rPr>
        <w:t>M. Tech. in Drone and Anti-Drone Technologies (DADT)</w:t>
      </w:r>
    </w:p>
    <w:p>
      <w:pPr>
        <w:spacing w:before="0" w:after="100" w:line="276" w:lineRule="auto"/>
      </w:pPr>
      <w:r>
        <w:rPr>
          <w:rFonts w:ascii="Calibri" w:hAnsi="Calibri"/>
          <w:sz w:val="20"/>
        </w:rPr>
        <w:t>Over the past two to three decades, Drone technologies have rapidly advanced and established themselves as transformative tools across a wide range of military and civilian applications. These include precision aerial strikes, logistics and package delivery, agricultural monitoring and spraying, surveillance in both urban and remote settings, support for disaster relief and search-and-rescue operations, as well as aerial imaging and videography for public gatherings, infrastructure inspection, and sporting or cultural events. The adaptability and versatility of drones have led to their widespread adoption across government agencies, industries, and research institutions, creating a thriving ecosystem of innovation and deployment. However, the increasing ubiquity of drones has also introduced new security challenges, necessitating the parallel development of robust Anti-Drone Technologies. These systems are essential for safeguarding sensitive infrastructures, ensuring airspace security, and preventing the misuse of drones for malicious purposes such as unauthorized surveillance, smuggling, or attacks. As drones become more accessible and autonomous, the need for effective detection, tracking, identification, and neutralization systems has become a national priority.</w:t>
      </w:r>
    </w:p>
    <w:p>
      <w:pPr>
        <w:spacing w:before="0" w:after="100" w:line="276" w:lineRule="auto"/>
      </w:pPr>
      <w:r>
        <w:rPr>
          <w:rFonts w:ascii="Calibri" w:hAnsi="Calibri"/>
          <w:sz w:val="20"/>
        </w:rPr>
        <w:t>In this context, it is important to note that the development of Drone and Anti-Drone Technologies is a multidisciplinary activity that needs high technology inputs from many different disciplines, e.g., aerospace, mechanical, electrical, and, in addition, needs specialist manpower trained to handle the complex multidisciplinary tasks involved in the design, development, and deployment of Drone and Anti-Drone Technologies. In light of the above need and also in view of the fact that currently, only a scope-limited UAV program is being offered as a micro-specialization of M. Tech. (RMS) Under IDRD-RMS, the mechanical engineering department at IIT Jodhpur has recognized this important need and is proposing to start a new M.Tech program in ‘Drone and Anti-Drone Technologies’ from the academic year 2025-2026. This program aims to equip students with the skills and knowledge required to contribute meaningfully to this rapidly evolving and strategically important domain.</w:t>
      </w:r>
    </w:p>
    <w:p>
      <w:pPr>
        <w:keepNext/>
        <w:spacing w:before="280" w:after="80"/>
      </w:pPr>
      <w:r>
        <w:rPr>
          <w:rFonts w:ascii="Calibri" w:hAnsi="Calibri"/>
          <w:color w:val="003366"/>
          <w:sz w:val="26"/>
        </w:rPr>
        <w:t>Vision</w:t>
      </w:r>
    </w:p>
    <w:p>
      <w:pPr>
        <w:pStyle w:val="ListBullet"/>
        <w:spacing w:before="20" w:after="40"/>
      </w:pPr>
      <w:r>
        <w:rPr>
          <w:rFonts w:ascii="Calibri" w:hAnsi="Calibri"/>
          <w:sz w:val="20"/>
        </w:rPr>
        <w:t>Integrating aerospace engineering with new-age technologies, fostering multidisciplinary research for innovation, self-reliance and leadership in aerospace and allied technologies.</w:t>
      </w:r>
    </w:p>
    <w:p>
      <w:pPr>
        <w:keepNext/>
        <w:spacing w:before="280" w:after="80"/>
      </w:pPr>
      <w:r>
        <w:rPr>
          <w:rFonts w:ascii="Calibri" w:hAnsi="Calibri"/>
          <w:color w:val="003366"/>
          <w:sz w:val="26"/>
        </w:rPr>
        <w:t>Mission</w:t>
      </w:r>
    </w:p>
    <w:p>
      <w:pPr>
        <w:pStyle w:val="ListBullet"/>
        <w:spacing w:before="20" w:after="40"/>
      </w:pPr>
      <w:r>
        <w:rPr>
          <w:rFonts w:ascii="Calibri" w:hAnsi="Calibri"/>
          <w:sz w:val="20"/>
        </w:rPr>
        <w:t>Offer graduate, post-graduate and executive programs that emphasize on interdisci- plinary approaches as per the requirements of the Indian aerospace industry.</w:t>
      </w:r>
    </w:p>
    <w:p>
      <w:pPr>
        <w:pStyle w:val="ListBullet"/>
        <w:spacing w:before="20" w:after="40"/>
      </w:pPr>
      <w:r>
        <w:rPr>
          <w:rFonts w:ascii="Calibri" w:hAnsi="Calibri"/>
          <w:sz w:val="20"/>
        </w:rPr>
        <w:t>Develop a platform for product-oriented and multidisciplinary research involving governmental, industrial, and academic stakeholders.</w:t>
      </w:r>
    </w:p>
    <w:p>
      <w:pPr>
        <w:pStyle w:val="ListBullet"/>
        <w:spacing w:before="20" w:after="40"/>
      </w:pPr>
      <w:r>
        <w:rPr>
          <w:rFonts w:ascii="Calibri" w:hAnsi="Calibri"/>
          <w:sz w:val="20"/>
        </w:rPr>
        <w:t>Facilitate the aerospace engineering research infrastructure as per the defence, civil and space exploration national requirements.</w:t>
      </w:r>
    </w:p>
    <w:p>
      <w:pPr>
        <w:keepNext/>
        <w:spacing w:before="280" w:after="80"/>
      </w:pPr>
      <w:r>
        <w:rPr>
          <w:rFonts w:ascii="Calibri" w:hAnsi="Calibri"/>
          <w:color w:val="003366"/>
          <w:sz w:val="26"/>
        </w:rPr>
        <w:t>Learning Outcomes:</w:t>
      </w:r>
    </w:p>
    <w:p>
      <w:pPr>
        <w:spacing w:before="0" w:after="100" w:line="276" w:lineRule="auto"/>
      </w:pPr>
      <w:r>
        <w:rPr>
          <w:rFonts w:ascii="Calibri" w:hAnsi="Calibri"/>
          <w:b/>
          <w:sz w:val="20"/>
        </w:rPr>
        <w:t>Students are expected to gain:</w:t>
      </w:r>
    </w:p>
    <w:p>
      <w:pPr>
        <w:pStyle w:val="ListNumber"/>
        <w:spacing w:before="20" w:after="40"/>
      </w:pPr>
      <w:r>
        <w:rPr>
          <w:rFonts w:ascii="Calibri" w:hAnsi="Calibri"/>
          <w:sz w:val="20"/>
        </w:rPr>
        <w:t>Comprehensive understanding of the physical principles and engineering concepts underpinning the design and operation of both drone and anti-drone systems.</w:t>
      </w:r>
    </w:p>
    <w:p>
      <w:pPr>
        <w:pStyle w:val="ListNumber"/>
        <w:spacing w:before="20" w:after="40"/>
      </w:pPr>
      <w:r>
        <w:rPr>
          <w:rFonts w:ascii="Calibri" w:hAnsi="Calibri"/>
          <w:sz w:val="20"/>
        </w:rPr>
        <w:t>Capability to evaluate subsystem performance and design trade-offs within a chosen specialization, grounded in a solid core understanding of system-level interactions.</w:t>
      </w:r>
    </w:p>
    <w:p>
      <w:pPr>
        <w:pStyle w:val="ListNumber"/>
        <w:spacing w:before="20" w:after="40"/>
      </w:pPr>
      <w:r>
        <w:rPr>
          <w:rFonts w:ascii="Calibri" w:hAnsi="Calibri"/>
          <w:sz w:val="20"/>
        </w:rPr>
        <w:t>Ability to integrate theoretical and practical knowledge to develop Drone solutions aligned with specific mission requirements and counter-threat scenarios</w:t>
      </w:r>
    </w:p>
    <w:p>
      <w:pPr>
        <w:pStyle w:val="ListNumber"/>
        <w:spacing w:before="20" w:after="40"/>
      </w:pPr>
      <w:r>
        <w:rPr>
          <w:rFonts w:ascii="Calibri" w:hAnsi="Calibri"/>
          <w:sz w:val="20"/>
        </w:rPr>
        <w:t>Students are expected to engage in hands-on laboratory work, simulations, and projects to apply theoretical knowledge to realistic Drone configurations.</w:t>
      </w:r>
    </w:p>
    <w:p>
      <w:pPr>
        <w:pStyle w:val="ListNumber"/>
        <w:spacing w:before="20" w:after="40"/>
      </w:pPr>
      <w:r>
        <w:rPr>
          <w:rFonts w:ascii="Calibri" w:hAnsi="Calibri"/>
          <w:sz w:val="20"/>
        </w:rPr>
        <w:t>Prepare themselves for industry-relevant roles in companies, research institutions, government agencies, and academia that deal with different aspects of Drone and Anti-Drone Technologies.</w:t>
      </w:r>
    </w:p>
    <w:p>
      <w:pPr>
        <w:keepNext/>
        <w:spacing w:before="280" w:after="80"/>
      </w:pPr>
      <w:r>
        <w:rPr>
          <w:rFonts w:ascii="Calibri" w:hAnsi="Calibri"/>
          <w:color w:val="003366"/>
          <w:sz w:val="26"/>
        </w:rPr>
        <w:t>_</w:t>
      </w:r>
    </w:p>
    <w:p>
      <w:pPr>
        <w:spacing w:before="0" w:after="100" w:line="276" w:lineRule="auto"/>
      </w:pPr>
      <w:r>
        <w:rPr>
          <w:rFonts w:ascii="Calibri" w:hAnsi="Calibri"/>
          <w:sz w:val="20"/>
        </w:rPr>
        <w:t>_Key Objectives</w:t>
      </w:r>
    </w:p>
    <w:p>
      <w:pPr>
        <w:pStyle w:val="ListNumber"/>
        <w:spacing w:before="20" w:after="40"/>
      </w:pPr>
      <w:r>
        <w:rPr>
          <w:rFonts w:ascii="Calibri" w:hAnsi="Calibri"/>
          <w:sz w:val="20"/>
        </w:rPr>
        <w:t>To provide foundational knowledge in fundamental principles of aerodynamics, propulsion, structural mechanics, flight mechanics and their control guidance, related to aerospace engineering.</w:t>
      </w:r>
    </w:p>
    <w:p>
      <w:pPr>
        <w:pStyle w:val="ListNumber"/>
        <w:spacing w:before="20" w:after="40"/>
      </w:pPr>
      <w:r>
        <w:rPr>
          <w:rFonts w:ascii="Calibri" w:hAnsi="Calibri"/>
          <w:sz w:val="20"/>
        </w:rPr>
        <w:t>Cultivate critical thinking by integrating theoretical knowledge with computational and experimental skills that are related to the design, analysis, and testing of aerospace vehicles and systems.</w:t>
      </w:r>
    </w:p>
    <w:p>
      <w:pPr>
        <w:pStyle w:val="ListNumber"/>
        <w:spacing w:before="20" w:after="40"/>
      </w:pPr>
      <w:r>
        <w:rPr>
          <w:rFonts w:ascii="Calibri" w:hAnsi="Calibri"/>
          <w:sz w:val="20"/>
        </w:rPr>
        <w:t>Expose students to hands-on experience on flying objects, emerging technologies, entrepreneurial opportunities, problem-solving capabilities of unmanned aerial systems design and related interdisciplinary prospects in aerospace engineering.</w:t>
      </w:r>
    </w:p>
    <w:p>
      <w:pPr>
        <w:pStyle w:val="ListNumber"/>
        <w:spacing w:before="20" w:after="40"/>
      </w:pPr>
      <w:r>
        <w:rPr>
          <w:rFonts w:ascii="Calibri" w:hAnsi="Calibri"/>
          <w:sz w:val="20"/>
        </w:rPr>
        <w:t>Showcase integration of the newer engineering concepts in Artificial Intelligence and Machine learning, Internet of Things, and Digital twin into Aerospace engineering</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https://www.iitj.ac.in/aero/en/pg</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https://www.iitj.ac.in/aero/en/ug</w:t>
        </w:r>
      </w:hyperlink>
    </w:p>
    <w:p>
      <w:pPr>
        <w:pStyle w:val="ListBullet"/>
        <w:spacing w:before="20" w:after="40"/>
      </w:pPr>
      <w:r>
        <w:rPr>
          <w:rFonts w:ascii="Calibri" w:hAnsi="Calibri"/>
          <w:sz w:val="20"/>
        </w:rPr>
        <w:t xml:space="preserve">Traceable Knowledge Units: </w:t>
      </w:r>
      <w:r>
        <w:rPr>
          <w:rFonts w:ascii="Consolas" w:hAnsi="Consolas"/>
          <w:color w:val="333333"/>
          <w:sz w:val="19"/>
        </w:rPr>
        <w:t>4768b02b5e37bc34</w:t>
      </w:r>
      <w:r>
        <w:rPr>
          <w:rFonts w:ascii="Calibri" w:hAnsi="Calibri"/>
          <w:sz w:val="20"/>
        </w:rPr>
        <w:t xml:space="preserve">, </w:t>
      </w:r>
      <w:r>
        <w:rPr>
          <w:rFonts w:ascii="Consolas" w:hAnsi="Consolas"/>
          <w:color w:val="333333"/>
          <w:sz w:val="19"/>
        </w:rPr>
        <w:t>483afa9dfa460776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aero/en/pg" TargetMode="External"/><Relationship Id="rId11" Type="http://schemas.openxmlformats.org/officeDocument/2006/relationships/hyperlink" Target="https://www.iitj.ac.in/aero/en/u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