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Aerospace Engineering — Programs</w:t>
      </w:r>
    </w:p>
    <w:p>
      <w:pPr>
        <w:spacing w:before="0" w:after="280"/>
      </w:pPr>
      <w:r>
        <w:rPr>
          <w:rFonts w:ascii="Calibri" w:hAnsi="Calibri"/>
          <w:i/>
          <w:color w:val="666666"/>
          <w:sz w:val="20"/>
        </w:rPr>
        <w:t>Indian Institute of Technology Jodhpur  |  Category: departments/aerospace_engineering</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Aerospace Engineering — Programs at Indian Institute of Technology Jodhpur.</w:t>
      </w:r>
    </w:p>
    <w:p>
      <w:pPr>
        <w:keepNext/>
        <w:spacing w:before="280" w:after="80"/>
      </w:pPr>
      <w:r>
        <w:rPr>
          <w:rFonts w:ascii="Calibri" w:hAnsi="Calibri"/>
          <w:color w:val="003366"/>
          <w:sz w:val="26"/>
        </w:rPr>
        <w:t>Undergraduate Program</w:t>
      </w:r>
    </w:p>
    <w:p>
      <w:pPr>
        <w:spacing w:before="0" w:after="100" w:line="276" w:lineRule="auto"/>
      </w:pPr>
      <w:r>
        <w:rPr>
          <w:rFonts w:ascii="Calibri" w:hAnsi="Calibri"/>
          <w:sz w:val="20"/>
        </w:rPr>
        <w:t>Considering the emerging trends in Aerospace Engineering and societal needs, the Aerospace department’s vision is centred on integrating emerging technologies, such as digital twins, artificial intelligence, and related innovations. Such an approach will help produce highly skilled engineers, foster indigenous research, advance digital technologies, and strengthen India’s leadership, all in alignment with the objectives of IIT Jodhpur and the National Education Mission. The Aerospace Engineering Department’s Vision and Mission are the following:</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https://www.iitj.ac.in/aero/en/ug</w:t>
        </w:r>
      </w:hyperlink>
    </w:p>
    <w:p>
      <w:pPr>
        <w:pStyle w:val="ListBullet"/>
        <w:spacing w:before="20" w:after="40"/>
      </w:pPr>
      <w:r>
        <w:rPr>
          <w:rFonts w:ascii="Calibri" w:hAnsi="Calibri"/>
          <w:sz w:val="20"/>
        </w:rPr>
        <w:t xml:space="preserve">Traceable Knowledge Units: </w:t>
      </w:r>
      <w:r>
        <w:rPr>
          <w:rFonts w:ascii="Consolas" w:hAnsi="Consolas"/>
          <w:color w:val="333333"/>
          <w:sz w:val="19"/>
        </w:rPr>
        <w:t>497cda6fa789a36c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aero/en/u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