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Bioscience and Bioengineering — Overview</w:t>
      </w:r>
    </w:p>
    <w:p>
      <w:pPr>
        <w:spacing w:before="0" w:after="280"/>
      </w:pPr>
      <w:r>
        <w:rPr>
          <w:rFonts w:ascii="Calibri" w:hAnsi="Calibri"/>
          <w:i/>
          <w:color w:val="666666"/>
          <w:sz w:val="20"/>
        </w:rPr>
        <w:t>Indian Institute of Technology Jodhpur  |  Category: departments/bioscience_and_bioengineering</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Bioscience and Bioengineering — Overview at Indian Institute of Technology Jodhpur.</w:t>
      </w:r>
    </w:p>
    <w:p>
      <w:pPr>
        <w:keepNext/>
        <w:spacing w:before="280" w:after="80"/>
      </w:pPr>
      <w:r>
        <w:rPr>
          <w:rFonts w:ascii="Calibri" w:hAnsi="Calibri"/>
          <w:color w:val="003366"/>
          <w:sz w:val="26"/>
        </w:rPr>
        <w:t>Welcome to the Department of Bioscience &amp; Bioengineering</w:t>
      </w:r>
    </w:p>
    <w:p>
      <w:pPr>
        <w:spacing w:before="0" w:after="100" w:line="276" w:lineRule="auto"/>
      </w:pPr>
      <w:r>
        <w:rPr>
          <w:rFonts w:ascii="Calibri" w:hAnsi="Calibri"/>
          <w:sz w:val="20"/>
        </w:rPr>
        <w:t>The Department of Bioscience &amp; Bioengineering at IIT Jodhpur, established in 2009 offers a B.Tech. program in Bioengineering, an M.Tech. and M.Tech-Ph.D. dual degree programs in Bioscience &amp; Bioengineering. Our programs are uniquely designed to inspire innovations in biotechnology, engineering, and medicine from an understanding of biological systems. This capacity building is assuming importance in the present times for providing solutions to societal problems in trans-disciplinary frameworks. A major focus is on neurosciences and neurodegenerative disorders, mechanistic biology, environmental and medical microbiology, computational biology, precision health, and bioprospecting for novel molecules and bio-actives from natural resources of the Thar ecoregion. We also offer a competitive Ph.D. program to inculcate scientific temper, independent thinking, and skillsets for scientific entrepreneurship. We encourage and provide avenues for the participation of bioengineering graduates with diverse engineering disciplines to develop technologies for:</w:t>
      </w:r>
    </w:p>
    <w:p>
      <w:pPr>
        <w:pStyle w:val="ListNumber"/>
        <w:spacing w:before="20" w:after="40"/>
      </w:pPr>
      <w:r>
        <w:rPr>
          <w:rFonts w:ascii="Calibri" w:hAnsi="Calibri"/>
          <w:sz w:val="20"/>
        </w:rPr>
        <w:t>Affordable and Smart Healthcare</w:t>
      </w:r>
    </w:p>
    <w:p>
      <w:pPr>
        <w:pStyle w:val="ListNumber"/>
        <w:spacing w:before="20" w:after="40"/>
      </w:pPr>
      <w:r>
        <w:rPr>
          <w:rFonts w:ascii="Calibri" w:hAnsi="Calibri"/>
          <w:sz w:val="20"/>
        </w:rPr>
        <w:t>Clean Environment</w:t>
      </w:r>
    </w:p>
    <w:p>
      <w:pPr>
        <w:pStyle w:val="ListNumber"/>
        <w:spacing w:before="20" w:after="40"/>
      </w:pPr>
      <w:r>
        <w:rPr>
          <w:rFonts w:ascii="Calibri" w:hAnsi="Calibri"/>
          <w:sz w:val="20"/>
        </w:rPr>
        <w:t>Precision Medicine and Health</w:t>
      </w:r>
    </w:p>
    <w:p>
      <w:pPr>
        <w:pStyle w:val="ListNumber"/>
        <w:spacing w:before="20" w:after="40"/>
      </w:pPr>
      <w:r>
        <w:rPr>
          <w:rFonts w:ascii="Calibri" w:hAnsi="Calibri"/>
          <w:sz w:val="20"/>
        </w:rPr>
        <w:t>Sustainable and Affordable Energy</w:t>
      </w:r>
    </w:p>
    <w:p>
      <w:pPr>
        <w:spacing w:before="0" w:after="100" w:line="276" w:lineRule="auto"/>
      </w:pPr>
      <w:r>
        <w:rPr>
          <w:rFonts w:ascii="Calibri" w:hAnsi="Calibri"/>
          <w:sz w:val="20"/>
        </w:rPr>
        <w:t>Faculties at the department with wide-ranging expertise, conduct fundamental and translational research in focus areas that are contemporary and aligned to major sustainable development goals. We are passionate about research and actively communicate our science through regular outreach programs.</w:t>
      </w:r>
    </w:p>
    <w:p>
      <w:pPr>
        <w:spacing w:before="0" w:after="100" w:line="276" w:lineRule="auto"/>
      </w:pPr>
      <w:r>
        <w:rPr>
          <w:rFonts w:ascii="Calibri" w:hAnsi="Calibri"/>
          <w:i/>
          <w:sz w:val="20"/>
        </w:rPr>
        <w:t>outreach programs</w:t>
      </w:r>
    </w:p>
    <w:p>
      <w:pPr>
        <w:keepNext/>
        <w:spacing w:before="280" w:after="80"/>
      </w:pPr>
      <w:r>
        <w:rPr>
          <w:rFonts w:ascii="Calibri" w:hAnsi="Calibri"/>
          <w:color w:val="003366"/>
          <w:sz w:val="26"/>
        </w:rPr>
        <w:t>Introduction</w:t>
      </w:r>
    </w:p>
    <w:p>
      <w:pPr>
        <w:spacing w:before="0" w:after="100" w:line="276" w:lineRule="auto"/>
      </w:pPr>
      <w:r>
        <w:rPr>
          <w:rFonts w:ascii="Calibri" w:hAnsi="Calibri"/>
          <w:sz w:val="20"/>
        </w:rPr>
        <w:t>Every life form, beginning from microscopic bacteria to multicellular organisms, can be considered as a system that has been perfected over millennia by Evolution. Beginning from thermodynamically efficient cellular processes to the molecular motors driving the bacterial flagella, each product of evolution is an optimized engineering design that can be translated into real-life applications across disciplines. Today’s interdisciplinary biology is well complemented by engineering domains including electronics, computer science, mechanics, and materials engineering. Computational biology, for example, permits solving biology problems using statistical, artificial intelligence and machine learning approaches. Extensive use of computational biology is essential in data-driven approaches including Genomics, Proteomics, Transcriptomics, and Metabolomics. This amalgamation of biology and computer science has transformed the landscape of the infectious and non-infectious diseases research allowing the development of new diagnostic and therapeutic modalities. Today’s disease diagnosis is much more specific and sensitive, thanks to biosensors, which have far-reaching applications not only in healthcare but also in the environment, energy, and agriculture. Some applications include in-situ biosensors for human biochemical parameters, environmental contaminants, soil moisture, soil physicochemical parameters, etc. Advances in Biology have not only permitted the early diagnosis of disease but have also contributed abundantly to therapeutic interventions. It is now possible to intervene in diseases taking a multi-pronged approach, including the development of new drugs; production of recombinant therapeutics; development of implantable sensors, control systems; and editing genetic defects. Similarly, synthetic biology and genome editing tools have enabled the development of industrially important organisms for biofuel production as well as environmental remediation. Together, these technologies have significantly contributed to extending the healthy lifespan of the human race and have shown promise towards food, water, and energy security. In other words, bioengineering as a discipline has evolved to a great extent in last couple of decades and now demands a different intellectual outlook and scientific understanding for its further study. Therefore, an undergraduate academic program in Bioengineering should reflect this rapid evolution of the discipline, underlying scientific and technological advancements and interdisciplinary cross-talk so as to capture the mind of the next generation.</w:t>
      </w:r>
    </w:p>
    <w:p>
      <w:pPr>
        <w:spacing w:before="0" w:after="100" w:line="276" w:lineRule="auto"/>
      </w:pPr>
      <w:r>
        <w:rPr>
          <w:rFonts w:ascii="Calibri" w:hAnsi="Calibri"/>
          <w:sz w:val="20"/>
        </w:rPr>
        <w:t>The Indian Institute of Technology Jodhpur is committed to achieving excellence in shaping the young minds of tomorrow with a unique blend of teaching techniques and hands-on research-based learning. The Institute works towards the holistic development of students allowing them to be able to assume leadership positions in Industry, Academia, and Entrepreneurial ventures. The Department of Bioscience &amp; Bioengineering is committed to this goal and has developed academic programs that are interdisciplinary in nature and include a substantial component of courses from other science and engineering Departments. The Department aspires to produce Graduates, who can develop solutions to tackle local and global problems related to healthcare, energy, environment, water, and food.</w:t>
      </w:r>
    </w:p>
    <w:p>
      <w:pPr>
        <w:spacing w:before="0" w:after="100" w:line="276" w:lineRule="auto"/>
      </w:pPr>
      <w:r>
        <w:rPr>
          <w:rFonts w:ascii="Calibri" w:hAnsi="Calibri"/>
          <w:sz w:val="20"/>
        </w:rPr>
        <w:t>The biological world is full of natural wonders beginning from microscopic bacteria to multicellular organisms. Using a reductionist approach, each organism can be broken down into its subsystems, which continue to provide us with new knowledge on how evolution has perfected these systems over millennia. Conversely, one can also take a systems biology approach and appreciate the whole organism as a system that grows and continuously adapts to the environment. Beginning from thermodynamically efficient cellular systems to the molecular motors of the flagellar motor, each product of evolution is an optimized engineering design that can be translated into real-life applications across disciplines. Furthermore, the call for support from today’s data-driven biology has been answered by advancements in computational biology that permit solving biology problems using artificial intelligence and machine learning approaches. Genomics, proteomics, transcriptomics, and metabolomics have transformed the landscape of infectious and non-infectious diseases allowing the development of new diagnostic measures as well as therapeutics. In combination with active contribution from Electronic, Mechanical, Materials engineering, implantable sensor, and support devices that are biocompatible have significantly contributed to extending the healthy lifespan of the human race. The Department of Bioscience &amp; Bioengineering aspires to cater to the technological requirements of the country by conducting high-quality, translatable, and interdisciplinary research in the aforementioned focus areas.</w:t>
      </w:r>
    </w:p>
    <w:p>
      <w:pPr>
        <w:spacing w:before="0" w:after="100" w:line="276" w:lineRule="auto"/>
      </w:pPr>
      <w:r>
        <w:rPr>
          <w:rFonts w:ascii="Calibri" w:hAnsi="Calibri"/>
          <w:sz w:val="20"/>
        </w:rPr>
        <w:t>The doctoral program at the Department of Bioscience and Bioengineering (BSBE) permits students to undertake cutting edge research in the fields of Cellular &amp; Molecular Neuroscience, Bioimaging, Computational Biology &amp; Bioinformatics, Microbial physiology, Genomics, Environmental Biotechnology, Chemical Biology, Structural Biology, Protein Engineering, Centrosome Biology, Immunology, Statistical Genetics, Biomaterials Engineering, Tissue Engineering, Nanomedicine, and Drug Delivery. The doctoral program constitutes the major pillar of the department research in strengthening the journey towards technological solutions healthcare, water, food, and environment. The department strongly encourages interdisciplinary research in the interface of Biology, Chemistry, Computer Science, and Engineering.</w:t>
      </w: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9">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https://www.iitj.ac.in/bioscience-bioengineering</w:t>
        </w:r>
      </w:hyperlink>
    </w:p>
    <w:p>
      <w:pPr>
        <w:pStyle w:val="ListBullet"/>
        <w:spacing w:before="20" w:after="40"/>
      </w:pPr>
      <w:r>
        <w:rPr>
          <w:rFonts w:ascii="Calibri" w:hAnsi="Calibri"/>
          <w:sz w:val="20"/>
        </w:rPr>
        <w:t xml:space="preserve">Authoritative Source URL: </w:t>
      </w:r>
      <w:hyperlink r:id="rId11">
        <w:r>
          <w:rPr>
            <w:color w:val="004B87"/>
            <w:u w:val="single"/>
          </w:rPr>
          <w:t xml:space="preserve">https://www.iitj.ac.in/bioscience-bioengineering/en/undergraduate-program</w:t>
        </w:r>
      </w:hyperlink>
    </w:p>
    <w:p>
      <w:pPr>
        <w:pStyle w:val="ListBullet"/>
        <w:spacing w:before="20" w:after="40"/>
      </w:pPr>
      <w:r>
        <w:rPr>
          <w:rFonts w:ascii="Calibri" w:hAnsi="Calibri"/>
          <w:sz w:val="20"/>
        </w:rPr>
        <w:t xml:space="preserve">Authoritative Source URL: </w:t>
      </w:r>
      <w:hyperlink r:id="rId12">
        <w:r>
          <w:rPr>
            <w:color w:val="004B87"/>
            <w:u w:val="single"/>
          </w:rPr>
          <w:t xml:space="preserve">https://www.iitj.ac.in/bioscience-bioengineering/en/bioscience-bioengineering</w:t>
        </w:r>
      </w:hyperlink>
    </w:p>
    <w:p>
      <w:pPr>
        <w:pStyle w:val="ListBullet"/>
        <w:spacing w:before="20" w:after="40"/>
      </w:pPr>
      <w:r>
        <w:rPr>
          <w:rFonts w:ascii="Calibri" w:hAnsi="Calibri"/>
          <w:sz w:val="20"/>
        </w:rPr>
        <w:t xml:space="preserve">Authoritative Source URL: </w:t>
      </w:r>
      <w:hyperlink r:id="rId13">
        <w:r>
          <w:rPr>
            <w:color w:val="004B87"/>
            <w:u w:val="single"/>
          </w:rPr>
          <w:t xml:space="preserve">https://www.iitj.ac.in/bioscience-bioengineering/en/postgraduate-program</w:t>
        </w:r>
      </w:hyperlink>
    </w:p>
    <w:p>
      <w:pPr>
        <w:pStyle w:val="ListBullet"/>
        <w:spacing w:before="20" w:after="40"/>
      </w:pPr>
      <w:r>
        <w:rPr>
          <w:rFonts w:ascii="Calibri" w:hAnsi="Calibri"/>
          <w:sz w:val="20"/>
        </w:rPr>
        <w:t xml:space="preserve">Authoritative Source URL: </w:t>
      </w:r>
      <w:hyperlink r:id="rId14">
        <w:r>
          <w:rPr>
            <w:color w:val="004B87"/>
            <w:u w:val="single"/>
          </w:rPr>
          <w:t xml:space="preserve">https://www.iitj.ac.in/bioscience-bioengineering/en/doctorial-program</w:t>
        </w:r>
      </w:hyperlink>
    </w:p>
    <w:p>
      <w:pPr>
        <w:pStyle w:val="ListBullet"/>
        <w:spacing w:before="20" w:after="40"/>
      </w:pPr>
      <w:r>
        <w:rPr>
          <w:rFonts w:ascii="Calibri" w:hAnsi="Calibri"/>
          <w:sz w:val="20"/>
        </w:rPr>
        <w:t xml:space="preserve">Traceable Knowledge Units: </w:t>
      </w:r>
      <w:r>
        <w:rPr>
          <w:rFonts w:ascii="Consolas" w:hAnsi="Consolas"/>
          <w:color w:val="333333"/>
          <w:sz w:val="19"/>
        </w:rPr>
        <w:t>20f5f384db9bef12</w:t>
      </w:r>
      <w:r>
        <w:rPr>
          <w:rFonts w:ascii="Calibri" w:hAnsi="Calibri"/>
          <w:sz w:val="20"/>
        </w:rPr>
        <w:t xml:space="preserve">, </w:t>
      </w:r>
      <w:r>
        <w:rPr>
          <w:rFonts w:ascii="Consolas" w:hAnsi="Consolas"/>
          <w:color w:val="333333"/>
          <w:sz w:val="19"/>
        </w:rPr>
        <w:t>3cd979c1c263440f</w:t>
      </w:r>
      <w:r>
        <w:rPr>
          <w:rFonts w:ascii="Calibri" w:hAnsi="Calibri"/>
          <w:sz w:val="20"/>
        </w:rPr>
        <w:t xml:space="preserve">, </w:t>
      </w:r>
      <w:r>
        <w:rPr>
          <w:rFonts w:ascii="Consolas" w:hAnsi="Consolas"/>
          <w:color w:val="333333"/>
          <w:sz w:val="19"/>
        </w:rPr>
        <w:t>925602520504fd98</w:t>
      </w:r>
      <w:r>
        <w:rPr>
          <w:rFonts w:ascii="Calibri" w:hAnsi="Calibri"/>
          <w:sz w:val="20"/>
        </w:rPr>
        <w:t xml:space="preserve">, </w:t>
      </w:r>
      <w:r>
        <w:rPr>
          <w:rFonts w:ascii="Consolas" w:hAnsi="Consolas"/>
          <w:color w:val="333333"/>
          <w:sz w:val="19"/>
        </w:rPr>
        <w:t>a223133ae10bce04</w:t>
      </w:r>
      <w:r>
        <w:rPr>
          <w:rFonts w:ascii="Calibri" w:hAnsi="Calibri"/>
          <w:sz w:val="20"/>
        </w:rPr>
        <w:t xml:space="preserve">, </w:t>
      </w:r>
      <w:r>
        <w:rPr>
          <w:rFonts w:ascii="Consolas" w:hAnsi="Consolas"/>
          <w:color w:val="333333"/>
          <w:sz w:val="19"/>
        </w:rPr>
        <w:t>df85876afbe33b56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itj.ac.in/" TargetMode="External"/><Relationship Id="rId10" Type="http://schemas.openxmlformats.org/officeDocument/2006/relationships/hyperlink" Target="https://www.iitj.ac.in/bioscience-bioengineering" TargetMode="External"/><Relationship Id="rId11" Type="http://schemas.openxmlformats.org/officeDocument/2006/relationships/hyperlink" Target="https://www.iitj.ac.in/bioscience-bioengineering/en/undergraduate-program" TargetMode="External"/><Relationship Id="rId12" Type="http://schemas.openxmlformats.org/officeDocument/2006/relationships/hyperlink" Target="https://www.iitj.ac.in/bioscience-bioengineering/en/bioscience-bioengineering" TargetMode="External"/><Relationship Id="rId13" Type="http://schemas.openxmlformats.org/officeDocument/2006/relationships/hyperlink" Target="https://www.iitj.ac.in/bioscience-bioengineering/en/postgraduate-program" TargetMode="External"/><Relationship Id="rId14" Type="http://schemas.openxmlformats.org/officeDocument/2006/relationships/hyperlink" Target="https://www.iitj.ac.in/bioscience-bioengineering/en/doctorial-progr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