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Civil and Infrastructure Engineering — General Information</w:t>
      </w:r>
    </w:p>
    <w:p>
      <w:pPr>
        <w:spacing w:before="0" w:after="280"/>
      </w:pPr>
      <w:r>
        <w:rPr>
          <w:rFonts w:ascii="Calibri" w:hAnsi="Calibri"/>
          <w:i/>
          <w:color w:val="666666"/>
          <w:sz w:val="20"/>
        </w:rPr>
        <w:t>Indian Institute of Technology Jodhpur  |  Category: departments/civil_and_infrastructure_engineering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Civil and Infrastructure Engineering — General Information at Indian Institute of Technology Jodhpur.</w:t>
      </w:r>
    </w:p>
    <w:p>
      <w:pPr>
        <w:keepNext/>
        <w:spacing w:before="280" w:after="80"/>
      </w:pPr>
      <w:r>
        <w:rPr>
          <w:rFonts w:ascii="Calibri" w:hAnsi="Calibri"/>
          <w:color w:val="003366"/>
          <w:sz w:val="26"/>
        </w:rPr>
        <w:t>500kN Compression Testing Machine</w:t>
      </w:r>
    </w:p>
    <w:p>
      <w:pPr>
        <w:spacing w:before="0" w:after="100" w:line="276" w:lineRule="auto"/>
      </w:pPr>
      <w:r>
        <w:rPr>
          <w:rFonts w:ascii="Calibri" w:hAnsi="Calibri"/>
          <w:sz w:val="20"/>
        </w:rPr>
        <w:t>The 500 kN High Force Fatigue Testing Machines are servo-hydraulic systems equipped with a large T-slot bed and a high-stiffness four-column load frame, specifically designed for high-force testing of materials and components. These machines are widely used for both static and fatigue testing in applications such as tension/compression fracture, fatigue crack propagation, high-cycle fatigue (HCF), elastomer property evaluation, and flexural strength analysis. Common test specimens include metals, wire ropes, rebar, rails, concrete, and aerospace components. Operating in stroke control mode, the system maintains the load within user-defined limits during specimen loading. Key features include a 150 mm (±75mm) actuator stroke with 0.1 mm resolution, capability for cyclic operation, customizable hydraulic and dynamic performance to suit specific applications, and an adjustable upper crosshead with hydraulic lifts and locks for quick and easy daylight adjustment.</w:t>
      </w:r>
    </w:p>
    <w:p>
      <w:pPr>
        <w:keepNext/>
        <w:spacing w:before="280" w:after="80"/>
      </w:pPr>
      <w:r>
        <w:rPr>
          <w:rFonts w:ascii="Calibri" w:hAnsi="Calibri"/>
          <w:color w:val="003366"/>
          <w:sz w:val="26"/>
        </w:rPr>
        <w:t>Stress Path Triaxial Test Apparatus</w:t>
      </w:r>
    </w:p>
    <w:p>
      <w:pPr>
        <w:spacing w:before="0" w:after="100" w:line="276" w:lineRule="auto"/>
      </w:pPr>
      <w:r>
        <w:rPr>
          <w:rFonts w:ascii="Calibri" w:hAnsi="Calibri"/>
          <w:sz w:val="20"/>
        </w:rPr>
        <w:t>The stress path triaxial system is a valuable tool in geotechnical and civil engineering, used to understand soil behaviour under controlled stress conditions. One critical application is in the design of foundations and retaining structures, where understanding the soil response to loading helps engineers predict settlement, bearing capacity, and potential failure modes. By simulating site-specific stress conditions, the system enables more accurate modelling of how soils react to construction loads. In embankment and dam construction, the stress path triaxial system is used to assess the risk of shear failure during different construction stages or seismic loading. It also plays a crucial role in slope stability analysis, especially in identifying progressive failure mechanisms under varying drainage conditions. Moreover, in underground excavations like tunnels, the system helps simulate stress redistribution around the cavity and guides the selection of appropriate support systems. For oil and gas or mining operations, the technique aids in evaluating reservoir compaction and subsidence behaviour. By tracing the path of stresses during loading and unloading, engineers can optimize designs for safety, cost-efficiency, and longevity, especially in complex soil environments or projects with high geotechnical risks.</w:t>
      </w:r>
    </w:p>
    <w:p>
      <w:pPr>
        <w:keepNext/>
        <w:spacing w:before="280" w:after="80"/>
      </w:pPr>
      <w:r>
        <w:rPr>
          <w:rFonts w:ascii="Calibri" w:hAnsi="Calibri"/>
          <w:color w:val="003366"/>
          <w:sz w:val="26"/>
        </w:rPr>
        <w:t>Structural Engineering</w:t>
      </w:r>
    </w:p>
    <w:p>
      <w:pPr>
        <w:spacing w:before="0" w:after="100" w:line="276" w:lineRule="auto"/>
      </w:pPr>
      <w:r>
        <w:rPr>
          <w:rFonts w:ascii="Calibri" w:hAnsi="Calibri"/>
          <w:sz w:val="20"/>
        </w:rPr>
        <w:t>Department of Civil and Infrastructural Engineering, IIT Jodhpur plans to establish a state-of-the-art Laboratory in the Structural Engineering domain. Further, it also plans to establish various theme based laboratories such as Structural Health Monitoring Laboratory, Structural Modelling and Simulation Laboratory, Risk, Reliability and Stochastic Modelling Laboratory, Wind Energy and Engineering Laboratory, Steel and Composite Structures Laboratory, and Earthquake Engineering Laboratory. It involves studying ambient vibrations, conducting experimental studies on models/prototypes of structural elements and assemblies under various static and dynamic loading conditions, and providing technical services for testing and researching the structural behavior and properties of materials.</w:t>
      </w:r>
    </w:p>
    <w:p>
      <w:pPr>
        <w:spacing w:before="0" w:after="100" w:line="276" w:lineRule="auto"/>
      </w:pPr>
      <w:r>
        <w:rPr>
          <w:rFonts w:ascii="Calibri" w:hAnsi="Calibri"/>
          <w:sz w:val="20"/>
        </w:rPr>
        <w:t>These laboratories envision to boost the research and teaching ecosystem in the structure engineering and interdisciplinary domains. At present, the Structural Engineer Laboratory caters experiments related to non-destructive testing such as rebound hammer, ultrasonic pulse velocity, rebar locator, half-cell potentiometer, Maxwell reciprocal theorem apparatus, two and three hinged arch apparatus, suspension bridge apparatus, pin jointed truss apparatus, elastic properties of deflected beam apparatus, behaviour of columns and struts apparatus, elastically coupled beam apparatus and unsymmetrical bending apparatus. At present, the laboratory is equipped with two servo-controlled hydraulic testing machines, a 1000 kN universal testing machine (UTM), and a 3000 kN compression testing machine (CTM). Additionally, the laboratory has an 8-channel universal amplifier HBK make, a 100 kN Flexure Testing Machine (FTM), and various other equipment suitable for undergraduate level laboratory work. The laboratory also has multiple software platforms for numerical modelling and simulation such as ABAQUS, STAAD Pro and SAP.</w:t>
      </w:r>
    </w:p>
    <w:p>
      <w:pPr>
        <w:pStyle w:val="ListBullet"/>
        <w:spacing w:before="20" w:after="40"/>
      </w:pPr>
      <w:r>
        <w:rPr>
          <w:rFonts w:ascii="Calibri" w:hAnsi="Calibri"/>
          <w:sz w:val="20"/>
        </w:rPr>
        <w:t>500kN Compression Testing Machine</w:t>
      </w:r>
    </w:p>
    <w:p>
      <w:pPr>
        <w:pStyle w:val="ListBullet"/>
        <w:spacing w:before="20" w:after="40"/>
      </w:pPr>
      <w:r>
        <w:rPr>
          <w:rFonts w:ascii="Calibri" w:hAnsi="Calibri"/>
          <w:sz w:val="20"/>
        </w:rPr>
        <w:t>100 kN Fatigue Testing Machine</w:t>
      </w:r>
    </w:p>
    <w:p>
      <w:pPr>
        <w:pStyle w:val="ListBullet"/>
        <w:spacing w:before="20" w:after="40"/>
      </w:pPr>
      <w:r>
        <w:rPr>
          <w:rFonts w:ascii="Calibri" w:hAnsi="Calibri"/>
          <w:sz w:val="20"/>
        </w:rPr>
        <w:t>Universal 8 Channel Data Acquisition System (DAQ)</w:t>
      </w:r>
    </w:p>
    <w:p>
      <w:pPr>
        <w:pStyle w:val="ListBullet"/>
        <w:spacing w:before="20" w:after="40"/>
      </w:pPr>
      <w:r>
        <w:rPr>
          <w:rFonts w:ascii="Calibri" w:hAnsi="Calibri"/>
          <w:sz w:val="20"/>
        </w:rPr>
        <w:t>Thyristor Based Furnace</w:t>
      </w:r>
    </w:p>
    <w:p>
      <w:pPr>
        <w:keepNext/>
        <w:spacing w:before="280" w:after="80"/>
      </w:pPr>
      <w:r>
        <w:rPr>
          <w:rFonts w:ascii="Calibri" w:hAnsi="Calibri"/>
          <w:color w:val="003366"/>
          <w:sz w:val="26"/>
        </w:rPr>
        <w:t>Geotechnical Engineering</w:t>
      </w:r>
    </w:p>
    <w:p>
      <w:pPr>
        <w:spacing w:before="0" w:after="100" w:line="276" w:lineRule="auto"/>
      </w:pPr>
      <w:r>
        <w:rPr>
          <w:rFonts w:ascii="Calibri" w:hAnsi="Calibri"/>
          <w:sz w:val="20"/>
        </w:rPr>
        <w:t>The geotechnical engineering lab is well equipped with different basic and advanced lab equipments such as direct shear test equipment, consolidometer, vane shear test equipment, CBR, etc. and cyclic triaxial test which is a more generalised and advanced shear strength evaluation equipment that can be used to study any type of soils, with different drainage condition, under both static and dynamic loading. Apart from teaching, the different research groups of the lab are addressing key problems pertaining to real-life scenarios, such as sand dune migration and mitigation studies, monopile foundations for offshore wind turbines in seismically active and liquefiable soil regions, stability of geotechnical structures during extreme shift in surface temperature while using geosynthetics, etc. We are also actively exploring the application of AI/ML in the field of geotechnical engineering.</w:t>
      </w:r>
    </w:p>
    <w:p>
      <w:pPr>
        <w:pStyle w:val="ListBullet"/>
        <w:spacing w:before="20" w:after="40"/>
      </w:pPr>
      <w:r>
        <w:rPr>
          <w:rFonts w:ascii="Calibri" w:hAnsi="Calibri"/>
          <w:sz w:val="20"/>
        </w:rPr>
        <w:t>Stress Path Triaxial Test Apparatus</w:t>
      </w:r>
    </w:p>
    <w:p>
      <w:pPr>
        <w:pStyle w:val="ListBullet"/>
        <w:spacing w:before="20" w:after="40"/>
      </w:pPr>
      <w:r>
        <w:rPr>
          <w:rFonts w:ascii="Calibri" w:hAnsi="Calibri"/>
          <w:sz w:val="20"/>
        </w:rPr>
        <w:t>Ground Penetration Radar (350 MHz)</w:t>
      </w:r>
    </w:p>
    <w:p>
      <w:pPr>
        <w:keepNext/>
        <w:spacing w:before="280" w:after="80"/>
      </w:pPr>
      <w:r>
        <w:rPr>
          <w:rFonts w:ascii="Calibri" w:hAnsi="Calibri"/>
          <w:color w:val="003366"/>
          <w:sz w:val="26"/>
        </w:rPr>
        <w:t>Geological Engineering</w:t>
      </w:r>
    </w:p>
    <w:p>
      <w:pPr>
        <w:spacing w:before="0" w:after="100" w:line="276" w:lineRule="auto"/>
      </w:pPr>
      <w:r>
        <w:rPr>
          <w:rFonts w:ascii="Calibri" w:hAnsi="Calibri"/>
          <w:sz w:val="20"/>
        </w:rPr>
        <w:t>The Geological Engineering lab is developing new energy geo-technologies for hydrocarbon production, studying emergent geo-energy solutions and storage, and devising the application of geological materials in cross-disciplinary engineering applications.</w:t>
      </w:r>
    </w:p>
    <w:p>
      <w:pPr>
        <w:spacing w:before="0" w:after="100" w:line="276" w:lineRule="auto"/>
      </w:pPr>
      <w:r>
        <w:rPr>
          <w:rFonts w:ascii="Calibri" w:hAnsi="Calibri"/>
          <w:sz w:val="20"/>
        </w:rPr>
        <w:t>We apply fundamental concepts in geomechanics and mechanics of porous media, engineering geology principles, lab-based experiments, and advanced numerical simulations to understand the underlying processes of various in geomaterials.</w:t>
      </w:r>
    </w:p>
    <w:p>
      <w:pPr>
        <w:spacing w:before="0" w:after="100" w:line="276" w:lineRule="auto"/>
      </w:pPr>
      <w:r>
        <w:rPr>
          <w:rFonts w:ascii="Calibri" w:hAnsi="Calibri"/>
          <w:b/>
          <w:sz w:val="20"/>
        </w:rPr>
        <w:t>Types of equipment available for teaching:</w:t>
      </w:r>
    </w:p>
    <w:p>
      <w:pPr>
        <w:pStyle w:val="ListNumber"/>
        <w:spacing w:before="20" w:after="40"/>
      </w:pPr>
      <w:r>
        <w:rPr>
          <w:rFonts w:ascii="Calibri" w:hAnsi="Calibri"/>
          <w:sz w:val="20"/>
        </w:rPr>
        <w:t>Rock Drilling Machine</w:t>
      </w:r>
    </w:p>
    <w:p>
      <w:pPr>
        <w:pStyle w:val="ListNumber"/>
        <w:spacing w:before="20" w:after="40"/>
      </w:pPr>
      <w:r>
        <w:rPr>
          <w:rFonts w:ascii="Calibri" w:hAnsi="Calibri"/>
          <w:sz w:val="20"/>
        </w:rPr>
        <w:t>Rock Cutting and Grinding Apparatus</w:t>
      </w:r>
    </w:p>
    <w:p>
      <w:pPr>
        <w:pStyle w:val="ListNumber"/>
        <w:spacing w:before="20" w:after="40"/>
      </w:pPr>
      <w:r>
        <w:rPr>
          <w:rFonts w:ascii="Calibri" w:hAnsi="Calibri"/>
          <w:sz w:val="20"/>
        </w:rPr>
        <w:t>Brazilian Tensile Strength Measurement Apparatus</w:t>
      </w:r>
    </w:p>
    <w:p>
      <w:pPr>
        <w:pStyle w:val="ListNumber"/>
        <w:spacing w:before="20" w:after="40"/>
      </w:pPr>
      <w:r>
        <w:rPr>
          <w:rFonts w:ascii="Calibri" w:hAnsi="Calibri"/>
          <w:sz w:val="20"/>
        </w:rPr>
        <w:t>Point Load Index Tester</w:t>
      </w:r>
    </w:p>
    <w:p>
      <w:pPr>
        <w:pStyle w:val="ListNumber"/>
        <w:spacing w:before="20" w:after="40"/>
      </w:pPr>
      <w:r>
        <w:rPr>
          <w:rFonts w:ascii="Calibri" w:hAnsi="Calibri"/>
          <w:sz w:val="20"/>
        </w:rPr>
        <w:t>Hand-operated Rock Shear Strength Measurement Apparatus</w:t>
      </w:r>
    </w:p>
    <w:p>
      <w:pPr>
        <w:pStyle w:val="ListNumber"/>
        <w:spacing w:before="20" w:after="40"/>
      </w:pPr>
      <w:r>
        <w:rPr>
          <w:rFonts w:ascii="Calibri" w:hAnsi="Calibri"/>
          <w:sz w:val="20"/>
        </w:rPr>
        <w:t>Rock Permeability Measurement Apparatus</w:t>
      </w:r>
    </w:p>
    <w:p>
      <w:pPr>
        <w:pStyle w:val="ListNumber"/>
        <w:spacing w:before="20" w:after="40"/>
      </w:pPr>
      <w:r>
        <w:rPr>
          <w:rFonts w:ascii="Calibri" w:hAnsi="Calibri"/>
          <w:sz w:val="20"/>
        </w:rPr>
        <w:t>Cerchar Index Measurement Apparatus</w:t>
      </w:r>
    </w:p>
    <w:p>
      <w:pPr>
        <w:pStyle w:val="ListNumber"/>
        <w:spacing w:before="20" w:after="40"/>
      </w:pPr>
      <w:r>
        <w:rPr>
          <w:rFonts w:ascii="Calibri" w:hAnsi="Calibri"/>
          <w:sz w:val="20"/>
        </w:rPr>
        <w:t>Slake Durability Index Tester</w:t>
      </w:r>
    </w:p>
    <w:p>
      <w:pPr>
        <w:spacing w:before="0" w:after="100" w:line="276" w:lineRule="auto"/>
      </w:pPr>
      <w:r>
        <w:rPr>
          <w:rFonts w:ascii="Calibri" w:hAnsi="Calibri"/>
          <w:b/>
          <w:sz w:val="20"/>
        </w:rPr>
        <w:t>Apart from them, we also use the following types of equipment from other laboratories for teaching:</w:t>
      </w:r>
    </w:p>
    <w:p>
      <w:pPr>
        <w:pStyle w:val="ListNumber"/>
        <w:spacing w:before="20" w:after="40"/>
      </w:pPr>
      <w:r>
        <w:rPr>
          <w:rFonts w:ascii="Calibri" w:hAnsi="Calibri"/>
          <w:sz w:val="20"/>
        </w:rPr>
        <w:t>Universal/Compressive Testing Machine</w:t>
      </w:r>
    </w:p>
    <w:p>
      <w:pPr>
        <w:pStyle w:val="ListNumber"/>
        <w:spacing w:before="20" w:after="40"/>
      </w:pPr>
      <w:r>
        <w:rPr>
          <w:rFonts w:ascii="Calibri" w:hAnsi="Calibri"/>
          <w:sz w:val="20"/>
        </w:rPr>
        <w:t>Ultrasonic Velocity Measurement Apparatus</w:t>
      </w:r>
    </w:p>
    <w:p>
      <w:pPr>
        <w:pStyle w:val="ListNumber"/>
        <w:spacing w:before="20" w:after="40"/>
      </w:pPr>
      <w:r>
        <w:rPr>
          <w:rFonts w:ascii="Calibri" w:hAnsi="Calibri"/>
          <w:sz w:val="20"/>
        </w:rPr>
        <w:t>Schmidt Hammer</w:t>
      </w:r>
    </w:p>
    <w:p>
      <w:pPr>
        <w:pStyle w:val="ListBullet"/>
        <w:spacing w:before="20" w:after="40"/>
      </w:pPr>
      <w:r>
        <w:rPr>
          <w:rFonts w:ascii="Calibri" w:hAnsi="Calibri"/>
          <w:sz w:val="20"/>
        </w:rPr>
        <w:t>Fully Automatic Rock Triaxial Apparatus</w:t>
      </w:r>
    </w:p>
    <w:p>
      <w:pPr>
        <w:keepNext/>
        <w:spacing w:before="280" w:after="80"/>
      </w:pPr>
      <w:r>
        <w:rPr>
          <w:rFonts w:ascii="Calibri" w:hAnsi="Calibri"/>
          <w:color w:val="003366"/>
          <w:sz w:val="26"/>
        </w:rPr>
        <w:t>Environmental Engineering</w:t>
      </w:r>
    </w:p>
    <w:p>
      <w:pPr>
        <w:spacing w:before="0" w:after="100" w:line="276" w:lineRule="auto"/>
      </w:pPr>
      <w:r>
        <w:rPr>
          <w:rFonts w:ascii="Calibri" w:hAnsi="Calibri"/>
          <w:sz w:val="20"/>
        </w:rPr>
        <w:t>The Environmental Engineering laboratory is equipped with state-of-the art water quality testing and air quality monitoring instruments along with automatic weather station. The water quality research group is interested in advanced techniques for water treatment, environmental application and implication of nanotechnology. They are also exploring the possibility of application of AI/ML based technique in the field of water technology. The air quality experts are working on identification and characterization of air pollution sources. They are also engaged in climate and air pollution modelling using chemistry-climate models which can analyze air quality and associated impacts on climate, human health and vegetation.</w:t>
      </w:r>
    </w:p>
    <w:p>
      <w:pPr>
        <w:pStyle w:val="ListBullet"/>
        <w:spacing w:before="20" w:after="40"/>
      </w:pPr>
      <w:r>
        <w:rPr>
          <w:rFonts w:ascii="Calibri" w:hAnsi="Calibri"/>
          <w:sz w:val="20"/>
        </w:rPr>
        <w:t>UV-vis Spectrophotometer</w:t>
      </w:r>
    </w:p>
    <w:p>
      <w:pPr>
        <w:keepNext/>
        <w:spacing w:before="280" w:after="80"/>
      </w:pPr>
      <w:r>
        <w:rPr>
          <w:rFonts w:ascii="Calibri" w:hAnsi="Calibri"/>
          <w:color w:val="003366"/>
          <w:sz w:val="26"/>
        </w:rPr>
        <w:t>100 kN Fatigue Testing Machine</w:t>
      </w:r>
    </w:p>
    <w:p>
      <w:pPr>
        <w:spacing w:before="0" w:after="100" w:line="276" w:lineRule="auto"/>
      </w:pPr>
      <w:r>
        <w:rPr>
          <w:rFonts w:ascii="Calibri" w:hAnsi="Calibri"/>
          <w:sz w:val="20"/>
        </w:rPr>
        <w:t>The 100 kN Series servo-hydraulic test systems are designed to meet nearly all requirements for testing the strength, durability, and toughness of metals, composites, and plastics. These systems are supported by a wide range of transducers, application software, and accessories to accommodate standard testing procedures. Key features include a double-acting servo- hydraulic actuator with force capacities up to ±600 kN (±22 kip), a high-stiffness, precision-aligned, self-reacting twin- column load frame with the actuator positioned in the lower base or top crosshead, and a usable stroke length of 150 mm (±75mm). The system is rated for cyclic operations and includes mechanical, hydraulic, and pneumatic anti-vibration pads for enhanced stability. Users can tailor the hydraulic configuration and dynamic performance to specific application needs. The adjustable upper crosshead is equipped with hydraulic lifts and locks for easy daylighting. The system is compatible with a broad selection of grips, fixtures, chambers, video extensometers, protective shields, and other accessories.</w:t>
      </w:r>
    </w:p>
    <w:p>
      <w:pPr>
        <w:keepNext/>
        <w:spacing w:before="280" w:after="80"/>
      </w:pPr>
      <w:r>
        <w:rPr>
          <w:rFonts w:ascii="Calibri" w:hAnsi="Calibri"/>
          <w:color w:val="003366"/>
          <w:sz w:val="26"/>
        </w:rPr>
        <w:t>Universal 8 Channel Data Acquisition System (DAQ)</w:t>
      </w:r>
    </w:p>
    <w:p>
      <w:pPr>
        <w:spacing w:before="0" w:after="100" w:line="276" w:lineRule="auto"/>
      </w:pPr>
      <w:r>
        <w:rPr>
          <w:rFonts w:ascii="Calibri" w:hAnsi="Calibri"/>
          <w:sz w:val="20"/>
        </w:rPr>
        <w:t>The HBM QuantumX MX840B is an advanced 8-channel universal data logger that allows the connection of sensors and transducers based on 17 different technologies across all its channels. With the support of HBM’s innovative “Plug &amp; Measure” technology, the module automatically recognizes connected transducers, streamlining setup and ensuring accurate measurements. Each of the eight channels can accommodate a wide range of sensor types, including strain gauges in half or full bridge configurations (DC or CF with 4.8 kHz), voltage inputs (100 mV, 10 V, and 60 V), current- fed piezos (IEPE/ICP), piezoresistive full bridges, thermocouples (types K, N, R, S, T, B, E, J, and C), resistance thermometers (PT100, PT1000), resistance up to 5000 Ohm, potentiometric transducers, inductive half or full bridge sensors including LVDTs, and current inputs (±20 mA). Additionally, up to four channels support rotary encoders, counters, frequency/rpm measurements, and the SSI protocol. The module features a high-resolution 24-bit analog-to-digital converter and offers a sample rate of up to 40 kS/s per channel, complemented by active low-pass filters. Renowned for its precision, the MX840B achieves an accuracy class of up to 0.05%, making it ideal for high-performance measurement applications.</w:t>
      </w:r>
    </w:p>
    <w:p>
      <w:pPr>
        <w:keepNext/>
        <w:spacing w:before="280" w:after="80"/>
      </w:pPr>
      <w:r>
        <w:rPr>
          <w:rFonts w:ascii="Calibri" w:hAnsi="Calibri"/>
          <w:color w:val="003366"/>
          <w:sz w:val="26"/>
        </w:rPr>
        <w:t>Transportation Engineering</w:t>
      </w:r>
    </w:p>
    <w:p>
      <w:pPr>
        <w:spacing w:before="0" w:after="100" w:line="276" w:lineRule="auto"/>
      </w:pPr>
      <w:r>
        <w:rPr>
          <w:rFonts w:ascii="Calibri" w:hAnsi="Calibri"/>
          <w:sz w:val="20"/>
        </w:rPr>
        <w:t>Transportation Engineering lab is well equipped with the basic as well as advance equipments such as Marshall Stability Test Apparatus, Rotational Viscoemeter, Cannon Manning Viscoemeter, Asphalt mix theoretical density meter, Humidity chamber, Rolling Thin Film Oven, Automatic Marshall Compactor etc. Research groups in this domain focus on the topics such as Pavement Analysis; Pavement Design; Sustainable Pavement Materials, Traffic flow theory; Macroscopic and Microscopic modelling of traffic flow; Connected and autonomous vehicles; Dynamic Traffic Assignment, Intelligent Transportation System etc.</w:t>
      </w:r>
    </w:p>
    <w:p>
      <w:pPr>
        <w:pStyle w:val="ListBullet"/>
        <w:spacing w:before="20" w:after="40"/>
      </w:pPr>
      <w:r>
        <w:rPr>
          <w:rFonts w:ascii="Calibri" w:hAnsi="Calibri"/>
          <w:sz w:val="20"/>
        </w:rPr>
        <w:t>Wheel Rut Tracker</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https://www.iitj.ac.in/civil-and-infrastructure-engineering/en/structural-engineering</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https://www.iitj.ac.in/civil-and-infrastructure-engineering/en/geotechnical-engineering</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https://www.iitj.ac.in/civil-and-infrastructure-engineering/en/geological-engineering</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https://www.iitj.ac.in/civil-and-infrastructure-engineering/en/environmental-engineering</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https://www.iitj.ac.in/civil-and-infrastructure-engineering/en/transportation-engineering</w:t>
        </w:r>
      </w:hyperlink>
    </w:p>
    <w:p>
      <w:pPr>
        <w:pStyle w:val="ListBullet"/>
        <w:spacing w:before="20" w:after="40"/>
      </w:pPr>
      <w:r>
        <w:rPr>
          <w:rFonts w:ascii="Calibri" w:hAnsi="Calibri"/>
          <w:sz w:val="20"/>
        </w:rPr>
        <w:t xml:space="preserve">Traceable Knowledge Units: </w:t>
      </w:r>
      <w:r>
        <w:rPr>
          <w:rFonts w:ascii="Consolas" w:hAnsi="Consolas"/>
          <w:color w:val="333333"/>
          <w:sz w:val="19"/>
        </w:rPr>
        <w:t>319543c97d71622b</w:t>
      </w:r>
      <w:r>
        <w:rPr>
          <w:rFonts w:ascii="Calibri" w:hAnsi="Calibri"/>
          <w:sz w:val="20"/>
        </w:rPr>
        <w:t xml:space="preserve">, </w:t>
      </w:r>
      <w:r>
        <w:rPr>
          <w:rFonts w:ascii="Consolas" w:hAnsi="Consolas"/>
          <w:color w:val="333333"/>
          <w:sz w:val="19"/>
        </w:rPr>
        <w:t>5d8351c60969b35b</w:t>
      </w:r>
      <w:r>
        <w:rPr>
          <w:rFonts w:ascii="Calibri" w:hAnsi="Calibri"/>
          <w:sz w:val="20"/>
        </w:rPr>
        <w:t xml:space="preserve">, </w:t>
      </w:r>
      <w:r>
        <w:rPr>
          <w:rFonts w:ascii="Consolas" w:hAnsi="Consolas"/>
          <w:color w:val="333333"/>
          <w:sz w:val="19"/>
        </w:rPr>
        <w:t>b8e5c41441808d1a</w:t>
      </w:r>
      <w:r>
        <w:rPr>
          <w:rFonts w:ascii="Calibri" w:hAnsi="Calibri"/>
          <w:sz w:val="20"/>
        </w:rPr>
        <w:t xml:space="preserve">, </w:t>
      </w:r>
      <w:r>
        <w:rPr>
          <w:rFonts w:ascii="Consolas" w:hAnsi="Consolas"/>
          <w:color w:val="333333"/>
          <w:sz w:val="19"/>
        </w:rPr>
        <w:t>b9bd386bbdc0c0ee</w:t>
      </w:r>
      <w:r>
        <w:rPr>
          <w:rFonts w:ascii="Calibri" w:hAnsi="Calibri"/>
          <w:sz w:val="20"/>
        </w:rPr>
        <w:t xml:space="preserve">, </w:t>
      </w:r>
      <w:r>
        <w:rPr>
          <w:rFonts w:ascii="Consolas" w:hAnsi="Consolas"/>
          <w:color w:val="333333"/>
          <w:sz w:val="19"/>
        </w:rPr>
        <w:t>dac8bf01ebea57dd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civil-and-infrastructure-engineering/en/structural-engineering" TargetMode="External"/><Relationship Id="rId11" Type="http://schemas.openxmlformats.org/officeDocument/2006/relationships/hyperlink" Target="https://www.iitj.ac.in/civil-and-infrastructure-engineering/en/geotechnical-engineering" TargetMode="External"/><Relationship Id="rId12" Type="http://schemas.openxmlformats.org/officeDocument/2006/relationships/hyperlink" Target="https://www.iitj.ac.in/civil-and-infrastructure-engineering/en/geological-engineering" TargetMode="External"/><Relationship Id="rId13" Type="http://schemas.openxmlformats.org/officeDocument/2006/relationships/hyperlink" Target="https://www.iitj.ac.in/civil-and-infrastructure-engineering/en/environmental-engineering" TargetMode="External"/><Relationship Id="rId14" Type="http://schemas.openxmlformats.org/officeDocument/2006/relationships/hyperlink" Target="https://www.iitj.ac.in/civil-and-infrastructure-engineering/en/transportation-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