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Computer Science and Engineering — Overview</w:t>
      </w:r>
    </w:p>
    <w:p>
      <w:pPr>
        <w:spacing w:before="0" w:after="280"/>
      </w:pPr>
      <w:r>
        <w:rPr>
          <w:rFonts w:ascii="Calibri" w:hAnsi="Calibri"/>
          <w:i/>
          <w:color w:val="666666"/>
          <w:sz w:val="20"/>
        </w:rPr>
        <w:t>Indian Institute of Technology Jodhpur  |  Category: departments/computer_science_and_engineering</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Computer Science and Engineering — Overview at Indian Institute of Technology Jodhpur.</w:t>
      </w:r>
    </w:p>
    <w:p>
      <w:pPr>
        <w:keepNext/>
        <w:spacing w:before="280" w:after="80"/>
      </w:pPr>
      <w:r>
        <w:rPr>
          <w:rFonts w:ascii="Calibri" w:hAnsi="Calibri"/>
          <w:color w:val="003366"/>
          <w:sz w:val="26"/>
        </w:rPr>
        <w:t>Welcome to the Department of Computer Science &amp; Engineering</w:t>
      </w:r>
    </w:p>
    <w:p>
      <w:pPr>
        <w:spacing w:before="0" w:after="100" w:line="276" w:lineRule="auto"/>
      </w:pPr>
      <w:r>
        <w:rPr>
          <w:rFonts w:ascii="Calibri" w:hAnsi="Calibri"/>
          <w:sz w:val="20"/>
        </w:rPr>
        <w:t>Computer Science and Engineering, today, plays a major role in transforming every aspect of human life - in addressing social challenges and catalyzing the ongoing wave of the industrial revolution. The department is driven by its commitment to excel in next generation technology development and research. Our mission is to strengthen industry-academia collaborations and prepare our students to contribute to multi-disciplinary projects and R&amp;D for solving problems of national interest.</w:t>
      </w:r>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9">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10">
        <w:r>
          <w:rPr>
            <w:color w:val="004B87"/>
            <w:u w:val="single"/>
          </w:rPr>
          <w:t xml:space="preserve">https://www.iitj.ac.in/computer-science-engineering/en/computer-science-and-engineering</w:t>
        </w:r>
      </w:hyperlink>
    </w:p>
    <w:p>
      <w:pPr>
        <w:pStyle w:val="ListBullet"/>
        <w:spacing w:before="20" w:after="40"/>
      </w:pPr>
      <w:r>
        <w:rPr>
          <w:rFonts w:ascii="Calibri" w:hAnsi="Calibri"/>
          <w:sz w:val="20"/>
        </w:rPr>
        <w:t xml:space="preserve">Authoritative Source URL: </w:t>
      </w:r>
      <w:hyperlink r:id="rId11">
        <w:r>
          <w:rPr>
            <w:color w:val="004B87"/>
            <w:u w:val="single"/>
          </w:rPr>
          <w:t xml:space="preserve">https://www.iitj.ac.in/computer-science-engineering</w:t>
        </w:r>
      </w:hyperlink>
    </w:p>
    <w:p>
      <w:pPr>
        <w:pStyle w:val="ListBullet"/>
        <w:spacing w:before="20" w:after="40"/>
      </w:pPr>
      <w:r>
        <w:rPr>
          <w:rFonts w:ascii="Calibri" w:hAnsi="Calibri"/>
          <w:sz w:val="20"/>
        </w:rPr>
        <w:t xml:space="preserve">Traceable Knowledge Units: </w:t>
      </w:r>
      <w:r>
        <w:rPr>
          <w:rFonts w:ascii="Consolas" w:hAnsi="Consolas"/>
          <w:color w:val="333333"/>
          <w:sz w:val="19"/>
        </w:rPr>
        <w:t>6c5c82c70cb98a14</w:t>
      </w:r>
      <w:r>
        <w:rPr>
          <w:rFonts w:ascii="Calibri" w:hAnsi="Calibri"/>
          <w:sz w:val="20"/>
        </w:rPr>
        <w:t xml:space="preserve">, </w:t>
      </w:r>
      <w:r>
        <w:rPr>
          <w:rFonts w:ascii="Consolas" w:hAnsi="Consolas"/>
          <w:color w:val="333333"/>
          <w:sz w:val="19"/>
        </w:rPr>
        <w:t>7f74d442604df2dc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itj.ac.in/" TargetMode="External"/><Relationship Id="rId10" Type="http://schemas.openxmlformats.org/officeDocument/2006/relationships/hyperlink" Target="https://www.iitj.ac.in/computer-science-engineering/en/computer-science-and-engineering" TargetMode="External"/><Relationship Id="rId11" Type="http://schemas.openxmlformats.org/officeDocument/2006/relationships/hyperlink" Target="https://www.iitj.ac.in/computer-science-enginee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