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Economics — Research</w:t>
      </w:r>
    </w:p>
    <w:p>
      <w:pPr>
        <w:spacing w:before="0" w:after="280"/>
      </w:pPr>
      <w:r>
        <w:rPr>
          <w:rFonts w:ascii="Calibri" w:hAnsi="Calibri"/>
          <w:i/>
          <w:color w:val="666666"/>
          <w:sz w:val="20"/>
        </w:rPr>
        <w:t>Indian Institute of Technology Jodhpur  |  Category: departments/economics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Economics — Research at Indian Institute of Technology Jodhpur.</w:t>
      </w:r>
    </w:p>
    <w:p>
      <w:pPr>
        <w:keepNext/>
        <w:spacing w:before="280" w:after="80"/>
      </w:pPr>
      <w:r>
        <w:rPr>
          <w:rFonts w:ascii="Calibri" w:hAnsi="Calibri"/>
          <w:color w:val="003366"/>
          <w:sz w:val="26"/>
        </w:rPr>
        <w:t>Research Areas</w:t>
      </w:r>
    </w:p>
    <w:p>
      <w:pPr>
        <w:spacing w:before="0" w:after="100" w:line="276" w:lineRule="auto"/>
      </w:pPr>
      <w:r>
        <w:rPr>
          <w:rFonts w:ascii="Calibri" w:hAnsi="Calibri"/>
          <w:sz w:val="20"/>
        </w:rPr>
        <w:t>Find out about our research areas, thematic expertise, and faculty research interests in the Department of Economics at IIT Jodhpur.</w:t>
      </w:r>
    </w:p>
    <w:p>
      <w:pPr>
        <w:spacing w:before="0" w:after="100" w:line="276" w:lineRule="auto"/>
      </w:pPr>
      <w:r>
        <w:rPr>
          <w:rFonts w:ascii="Calibri" w:hAnsi="Calibri"/>
          <w:sz w:val="20"/>
        </w:rPr>
        <w:t>The Department of Economics at IIT Jodhpur promotes interdisciplinary and technology-driven research to address emerging economic, environmental, and societal challenges. The department integrates economics with data science, engineering systems, sustainability studies, and policy analytics to develop actionable and scalable solutions for national development.</w:t>
      </w:r>
    </w:p>
    <w:p>
      <w:pPr>
        <w:spacing w:before="0" w:after="100" w:line="276" w:lineRule="auto"/>
      </w:pPr>
      <w:r>
        <w:rPr>
          <w:rFonts w:ascii="Calibri" w:hAnsi="Calibri"/>
          <w:b/>
          <w:sz w:val="20"/>
        </w:rPr>
        <w:t>Our Motto</w:t>
      </w:r>
    </w:p>
    <w:p>
      <w:pPr>
        <w:spacing w:before="0" w:after="100" w:line="276" w:lineRule="auto"/>
      </w:pPr>
      <w:r>
        <w:rPr>
          <w:rFonts w:ascii="Calibri" w:hAnsi="Calibri"/>
          <w:b/>
          <w:sz w:val="20"/>
        </w:rPr>
        <w:t>अर्थज्ञानविज्ञानतन्त्रनवोन्मेषानां राष्ट्राभ्युदयाय समन्वयः</w:t>
      </w:r>
    </w:p>
    <w:p>
      <w:pPr>
        <w:spacing w:before="0" w:after="100" w:line="276" w:lineRule="auto"/>
      </w:pPr>
      <w:r>
        <w:rPr>
          <w:rFonts w:ascii="Calibri" w:hAnsi="Calibri"/>
          <w:b/>
          <w:sz w:val="20"/>
        </w:rPr>
        <w:t>(Confluence of Economics, Science and Technology, and Innovation for National Development)</w:t>
      </w:r>
    </w:p>
    <w:p>
      <w:pPr>
        <w:spacing w:before="0" w:after="100" w:line="276" w:lineRule="auto"/>
      </w:pPr>
      <w:r>
        <w:rPr>
          <w:rFonts w:ascii="Calibri" w:hAnsi="Calibri"/>
          <w:sz w:val="20"/>
        </w:rPr>
        <w:t>The department follows a “glocal” approach by combining globally informed research with locally relevant applications. Current research activities are organised around the following broad thematic areas.</w:t>
      </w:r>
    </w:p>
    <w:p>
      <w:pPr>
        <w:spacing w:before="0" w:after="100" w:line="276" w:lineRule="auto"/>
      </w:pPr>
      <w:r>
        <w:rPr>
          <w:rFonts w:ascii="Calibri" w:hAnsi="Calibri"/>
          <w:sz w:val="20"/>
        </w:rPr>
        <w:t>Ongoing departmental research is organised around the following broad thematic areas:</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https://www.iitj.ac.in/economics/en/our-research</w:t>
        </w:r>
      </w:hyperlink>
    </w:p>
    <w:p>
      <w:pPr>
        <w:pStyle w:val="ListBullet"/>
        <w:spacing w:before="20" w:after="40"/>
      </w:pPr>
      <w:r>
        <w:rPr>
          <w:rFonts w:ascii="Calibri" w:hAnsi="Calibri"/>
          <w:sz w:val="20"/>
        </w:rPr>
        <w:t xml:space="preserve">Traceable Knowledge Units: </w:t>
      </w:r>
      <w:r>
        <w:rPr>
          <w:rFonts w:ascii="Consolas" w:hAnsi="Consolas"/>
          <w:color w:val="333333"/>
          <w:sz w:val="19"/>
        </w:rPr>
        <w:t>eca4c3f11e57be6a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economics/en/our-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