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Electronics Engineering — Overview</w:t>
      </w:r>
    </w:p>
    <w:p>
      <w:pPr>
        <w:spacing w:before="0" w:after="280"/>
      </w:pPr>
      <w:r>
        <w:rPr>
          <w:rFonts w:ascii="Calibri" w:hAnsi="Calibri"/>
          <w:i/>
          <w:color w:val="666666"/>
          <w:sz w:val="20"/>
        </w:rPr>
        <w:t>Indian Institute of Technology Jodhpur  |  Category: departments/electronics_engineering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Electronics Engineering — Overview at Indian Institute of Technology Jodhpur.</w:t>
      </w:r>
    </w:p>
    <w:p>
      <w:pPr>
        <w:keepNext/>
        <w:spacing w:before="280" w:after="80"/>
      </w:pPr>
      <w:r>
        <w:rPr>
          <w:rFonts w:ascii="Calibri" w:hAnsi="Calibri"/>
          <w:color w:val="003366"/>
          <w:sz w:val="26"/>
        </w:rPr>
        <w:t>1. Introduction</w:t>
      </w:r>
    </w:p>
    <w:p>
      <w:pPr>
        <w:spacing w:before="0" w:after="100" w:line="276" w:lineRule="auto"/>
      </w:pPr>
      <w:r>
        <w:rPr>
          <w:rFonts w:ascii="Calibri" w:hAnsi="Calibri"/>
          <w:sz w:val="20"/>
        </w:rPr>
        <w:t>The vision of the Department is to be the leading center of excellence in Electronics Engineering (ECE) that advances emerging technologies through transformative education, cutting-edge research, and innovation, contributing to sustainable technological progress and societal development. In alignment with India’s national strategic priorities—including the Bharat 6G vision, the India Semiconductor Mission, Digital India, and Make in India—the department aims to develop highly skilled graduates capable of leading the next generation of electronics-led technological transformation.</w:t>
      </w:r>
    </w:p>
    <w:p>
      <w:pPr>
        <w:spacing w:before="0" w:after="100" w:line="276" w:lineRule="auto"/>
      </w:pPr>
      <w:r>
        <w:rPr>
          <w:rFonts w:ascii="Calibri" w:hAnsi="Calibri"/>
          <w:sz w:val="20"/>
        </w:rPr>
        <w:t xml:space="preserve">The program is built on three key components: strong foundations in mathematics, computing, and engineering sciences; technical skills through selected courses; and general education for overall growth. The undergraduate program is designed for students interested in core and emerging areas of electronics engineering, including </w:t>
      </w:r>
      <w:r>
        <w:rPr>
          <w:rFonts w:ascii="Calibri" w:hAnsi="Calibri"/>
          <w:b/>
          <w:sz w:val="20"/>
        </w:rPr>
        <w:t>micro-nano electronics, communication systems, photonics, embedded systems, RF, and semiconductor technologies</w:t>
      </w:r>
      <w:r>
        <w:rPr>
          <w:rFonts w:ascii="Calibri" w:hAnsi="Calibri"/>
          <w:sz w:val="20"/>
        </w:rPr>
        <w:t>. The curriculum establishes a strong foundation in mathematics, physics, electronic devices, circuits, signals, systems, and computing, enabling students to develop analytical thinking, design capability, and advanced problem-solving skills. A strong set of elective courses enables students to gain knowledge in emerging areas of electronics engineering and strengthen domain-specific expertise. The curriculum is organized around four focus areas that reflect emerging national and global priorities:</w:t>
      </w:r>
    </w:p>
    <w:p>
      <w:pPr>
        <w:pStyle w:val="ListNumber"/>
        <w:spacing w:before="20" w:after="40"/>
      </w:pPr>
      <w:r>
        <w:rPr>
          <w:rFonts w:ascii="Calibri" w:hAnsi="Calibri"/>
          <w:sz w:val="20"/>
        </w:rPr>
        <w:t>Micro-Nano Electronics &amp; VLSI</w:t>
      </w:r>
    </w:p>
    <w:p>
      <w:pPr>
        <w:pStyle w:val="ListNumber"/>
        <w:spacing w:before="20" w:after="40"/>
      </w:pPr>
      <w:r>
        <w:rPr>
          <w:rFonts w:ascii="Calibri" w:hAnsi="Calibri"/>
          <w:sz w:val="20"/>
        </w:rPr>
        <w:t>Communication &amp; Networks</w:t>
      </w:r>
    </w:p>
    <w:p>
      <w:pPr>
        <w:pStyle w:val="ListNumber"/>
        <w:spacing w:before="20" w:after="40"/>
      </w:pPr>
      <w:r>
        <w:rPr>
          <w:rFonts w:ascii="Calibri" w:hAnsi="Calibri"/>
          <w:sz w:val="20"/>
        </w:rPr>
        <w:t>RF &amp; Photonics</w:t>
      </w:r>
    </w:p>
    <w:p>
      <w:pPr>
        <w:pStyle w:val="ListNumber"/>
        <w:spacing w:before="20" w:after="40"/>
      </w:pPr>
      <w:r>
        <w:rPr>
          <w:rFonts w:ascii="Calibri" w:hAnsi="Calibri"/>
          <w:sz w:val="20"/>
        </w:rPr>
        <w:t>Intelligent and Embedded Computing</w:t>
      </w:r>
    </w:p>
    <w:p>
      <w:pPr>
        <w:spacing w:before="0" w:after="100" w:line="276" w:lineRule="auto"/>
      </w:pPr>
      <w:r>
        <w:rPr>
          <w:rFonts w:ascii="Calibri" w:hAnsi="Calibri"/>
          <w:sz w:val="20"/>
        </w:rPr>
        <w:t>These areas build skills in semiconductor devices, VLSI, chip design, packaging, wireless and optical communication, RF and microwave systems, sensing, and photonic systems. The advanced knowledge developed through these pathways directly supports India’s strategic priorities in domestic semiconductor manufacturing, 5G/6G communication systems, photonic integrated technologies, intelligent sensing, autonomous systems, and Industry 5.0 standards. The program also includes interdisciplinary learning, entrepreneurship, innovation, and research. It offers industrial internships, semiconductor projects, startup support, and mission-driven work to help India become self-reliant in electronics and chip technologies.</w:t>
      </w:r>
    </w:p>
    <w:p>
      <w:pPr>
        <w:keepNext/>
        <w:spacing w:before="280" w:after="80"/>
      </w:pPr>
      <w:r>
        <w:rPr>
          <w:rFonts w:ascii="Calibri" w:hAnsi="Calibri"/>
          <w:color w:val="003366"/>
          <w:sz w:val="26"/>
        </w:rPr>
        <w:t>Welcome to the Department of Electronics Engineering</w:t>
      </w:r>
    </w:p>
    <w:p>
      <w:pPr>
        <w:spacing w:before="0" w:after="100" w:line="276" w:lineRule="auto"/>
      </w:pPr>
      <w:r>
        <w:rPr>
          <w:rFonts w:ascii="Calibri" w:hAnsi="Calibri"/>
          <w:sz w:val="20"/>
        </w:rPr>
        <w:t>The Department of Electronics Engineering is envisioned as a vibrant academic and research hub dedicated to advancing the frontiers of modern electronics. With a strong emphasis on quality education, skilled human resource development, cutting-edge research, and innovation-led technology development, the Department aims to prepare students and researchers to address the technological challenges of an increasingly electronics-driven world.</w:t>
      </w:r>
    </w:p>
    <w:p>
      <w:pPr>
        <w:spacing w:before="0" w:after="100" w:line="276" w:lineRule="auto"/>
      </w:pPr>
      <w:r>
        <w:rPr>
          <w:rFonts w:ascii="Calibri" w:hAnsi="Calibri"/>
          <w:sz w:val="20"/>
        </w:rPr>
        <w:t>The Department is committed to delivering student-centric, outcome-based education rooted in strong fundamentals, a modern curriculum, hands-on training, and exposure to real-world engineering problems. Through state-of-the-art academic and laboratory resources, the Department seeks to develop technically competent, ethically responsible, and innovation-oriented graduates who are prepared for successful careers, higher studies, research, entrepreneurship, and leadership roles in India and across the world.</w:t>
      </w:r>
    </w:p>
    <w:p>
      <w:pPr>
        <w:spacing w:before="0" w:after="100" w:line="276" w:lineRule="auto"/>
      </w:pPr>
      <w:r>
        <w:rPr>
          <w:rFonts w:ascii="Calibri" w:hAnsi="Calibri"/>
          <w:sz w:val="20"/>
        </w:rPr>
        <w:t>Research in the Department spans both foundational and emerging areas of Electronics Engineering, including semiconductor technology, VLSI, nanoelectronics and advanced materials, AI/ML hardware, quantum computing and quantum communication, photonics and optoelectronics, bioelectronics, advanced communication systems, and sensors. The Department promotes interdisciplinary, application-driven research that addresses India-specific national priorities while advancing globally relevant technological advancements.</w:t>
      </w:r>
    </w:p>
    <w:p>
      <w:pPr>
        <w:spacing w:before="0" w:after="100" w:line="276" w:lineRule="auto"/>
      </w:pPr>
      <w:r>
        <w:rPr>
          <w:rFonts w:ascii="Calibri" w:hAnsi="Calibri"/>
          <w:sz w:val="20"/>
        </w:rPr>
        <w:t>In addition to excellence in teaching and research, the Department actively encourages innovation, prototype development, intellectual property generation, technology transfer, entrepreneurship, and industry-oriented problem solving. By strengthening academia–industry–government collaborations and promoting outreach activities, the Department aims to translate knowledge into impactful technologies for sustainable development, healthcare, defense, digital infrastructure, industry, and society.</w:t>
      </w:r>
    </w:p>
    <w:p>
      <w:pPr>
        <w:spacing w:before="0" w:after="100" w:line="276" w:lineRule="auto"/>
      </w:pPr>
      <w:r>
        <w:rPr>
          <w:rFonts w:ascii="Calibri" w:hAnsi="Calibri"/>
          <w:sz w:val="20"/>
        </w:rPr>
        <w:t>Prospective undergraduate, postgraduate, and doctoral students, as well as researchers, industry partners, and collaborators, are encouraged to explore the Department’s academic programs, research themes, faculty expertise, laboratories, and innovation ecosystem to learn more about the opportunities in Electronics Engineering at IIT Jodhpur.</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https://www.iitj.ac.in/ece/en/ug</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https://www.iitj.ac.in/ece/en/ece</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https://www.iitj.ac.in/ece</w:t>
        </w:r>
      </w:hyperlink>
    </w:p>
    <w:p>
      <w:pPr>
        <w:pStyle w:val="ListBullet"/>
        <w:spacing w:before="20" w:after="40"/>
      </w:pPr>
      <w:r>
        <w:rPr>
          <w:rFonts w:ascii="Calibri" w:hAnsi="Calibri"/>
          <w:sz w:val="20"/>
        </w:rPr>
        <w:t xml:space="preserve">Traceable Knowledge Units: </w:t>
      </w:r>
      <w:r>
        <w:rPr>
          <w:rFonts w:ascii="Consolas" w:hAnsi="Consolas"/>
          <w:color w:val="333333"/>
          <w:sz w:val="19"/>
        </w:rPr>
        <w:t>581123a1b5a996cf</w:t>
      </w:r>
      <w:r>
        <w:rPr>
          <w:rFonts w:ascii="Calibri" w:hAnsi="Calibri"/>
          <w:sz w:val="20"/>
        </w:rPr>
        <w:t xml:space="preserve">, </w:t>
      </w:r>
      <w:r>
        <w:rPr>
          <w:rFonts w:ascii="Consolas" w:hAnsi="Consolas"/>
          <w:color w:val="333333"/>
          <w:sz w:val="19"/>
        </w:rPr>
        <w:t>6d0074954a91b16b</w:t>
      </w:r>
      <w:r>
        <w:rPr>
          <w:rFonts w:ascii="Calibri" w:hAnsi="Calibri"/>
          <w:sz w:val="20"/>
        </w:rPr>
        <w:t xml:space="preserve">, </w:t>
      </w:r>
      <w:r>
        <w:rPr>
          <w:rFonts w:ascii="Consolas" w:hAnsi="Consolas"/>
          <w:color w:val="333333"/>
          <w:sz w:val="19"/>
        </w:rPr>
        <w:t>d178e5cff4167dca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ece/en/ug" TargetMode="External"/><Relationship Id="rId11" Type="http://schemas.openxmlformats.org/officeDocument/2006/relationships/hyperlink" Target="https://www.iitj.ac.in/ece/en/ece" TargetMode="External"/><Relationship Id="rId12" Type="http://schemas.openxmlformats.org/officeDocument/2006/relationships/hyperlink" Target="https://www.iitj.ac.in/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