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Electronics Engineering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departments/electronics_engineering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Electronics Engineering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2. Objectives of Program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program gives strong theory and practical skills in electronics engineering, focusing on the four areas. It prepares graduates for three main paths: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Industrial pathway:</w:t>
      </w:r>
      <w:r>
        <w:rPr>
          <w:rFonts w:ascii="Calibri" w:hAnsi="Calibri"/>
          <w:sz w:val="20"/>
        </w:rPr>
        <w:t xml:space="preserve"> Technical roles in chip design, semiconductor services, VLSI, communication systems, RF-photonics, antennas, radar, embedded platforms, and tech management.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Entrepreneurial pathway:</w:t>
      </w:r>
      <w:r>
        <w:rPr>
          <w:rFonts w:ascii="Calibri" w:hAnsi="Calibri"/>
          <w:sz w:val="20"/>
        </w:rPr>
        <w:t xml:space="preserve"> Apply the acquired knowledge for the development of electronics products, semiconductor solutions, intelligent systems, communication technologies, and deep-tech startups.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Academic and research pathway:</w:t>
      </w:r>
      <w:r>
        <w:rPr>
          <w:rFonts w:ascii="Calibri" w:hAnsi="Calibri"/>
          <w:sz w:val="20"/>
        </w:rPr>
        <w:t xml:space="preserve"> Pursue advanced graduate studies and research in frontier areas such as VLSI, semiconductor devices, next-generation communication systems, RF-photonics, and intelligent embedded systems, leading to careers in research, innovation, and academia.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https://www.iitj.ac.in/ece/en/ug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2fef2a6aefa8ccca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ece/en/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