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Energy and Automotive Engineering — Overview</w:t>
      </w:r>
    </w:p>
    <w:p>
      <w:pPr>
        <w:spacing w:before="0" w:after="280"/>
      </w:pPr>
      <w:r>
        <w:rPr>
          <w:rFonts w:ascii="Calibri" w:hAnsi="Calibri"/>
          <w:i/>
          <w:color w:val="666666"/>
          <w:sz w:val="20"/>
        </w:rPr>
        <w:t>Indian Institute of Technology Jodhpur  |  Category: departments/energy_and_automotive_engineering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Energy and Automotive Engineering — Overview at Indian Institute of Technology Jodhpur.</w:t>
      </w:r>
    </w:p>
    <w:p>
      <w:pPr>
        <w:keepNext/>
        <w:spacing w:before="280" w:after="80"/>
      </w:pPr>
      <w:r>
        <w:rPr>
          <w:rFonts w:ascii="Calibri" w:hAnsi="Calibri"/>
          <w:color w:val="003366"/>
          <w:sz w:val="26"/>
        </w:rPr>
        <w:t>Welcome to the Department of Energy and Automotive Engineering</w:t>
      </w:r>
    </w:p>
    <w:p>
      <w:pPr>
        <w:spacing w:before="0" w:after="100" w:line="276" w:lineRule="auto"/>
      </w:pPr>
      <w:r>
        <w:rPr>
          <w:rFonts w:ascii="Calibri" w:hAnsi="Calibri"/>
          <w:sz w:val="20"/>
        </w:rPr>
        <w:t>The Department of Energy and Automotive Engineering stands at the forefront of two of the most transformative fields of the time, sustainable energy and advanced automotive technology. We are committed to nurturing engineers who do not merely adapt to change but drive it. The Department provides B.Tech, M.Tech, and PhD tracks, bridging rigorous scholarship with immersive industry expertise. Students master transformative domains including electric and hybrid vehicles, renewable energy systems, hydrogen fuel technology, combustion and emission control, vehicle dynamics, and autonomous mobility.</w:t>
      </w:r>
    </w:p>
    <w:p>
      <w:pPr>
        <w:spacing w:before="0" w:after="100" w:line="276" w:lineRule="auto"/>
      </w:pPr>
      <w:r>
        <w:rPr>
          <w:rFonts w:ascii="Calibri" w:hAnsi="Calibri"/>
          <w:sz w:val="20"/>
        </w:rPr>
        <w:t>Backed by state-of-the-art laboratories and strong industry partnerships, our research culture bridges theory and real-world application. Faculty and students collaborate on funded projects, publish in leading journals, and contribute to technologies that matter, from cleaner powertrains to smarter, connected mobility systems. At our core is a belief that engineering excellence and environmental responsibility go hand in hand. We graduate professionals who are technically sharp, intellectually curious, and ready to lead the global transition toward a cleaner, more intelligent future of mobility.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https://www.iitj.ac.in/enauto</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https://www.iitj.ac.in/enauto/en/enauto</w:t>
        </w:r>
      </w:hyperlink>
    </w:p>
    <w:p>
      <w:pPr>
        <w:pStyle w:val="ListBullet"/>
        <w:spacing w:before="20" w:after="40"/>
      </w:pPr>
      <w:r>
        <w:rPr>
          <w:rFonts w:ascii="Calibri" w:hAnsi="Calibri"/>
          <w:sz w:val="20"/>
        </w:rPr>
        <w:t xml:space="preserve">Traceable Knowledge Units: </w:t>
      </w:r>
      <w:r>
        <w:rPr>
          <w:rFonts w:ascii="Consolas" w:hAnsi="Consolas"/>
          <w:color w:val="333333"/>
          <w:sz w:val="19"/>
        </w:rPr>
        <w:t>1f85652d6afda97c</w:t>
      </w:r>
      <w:r>
        <w:rPr>
          <w:rFonts w:ascii="Calibri" w:hAnsi="Calibri"/>
          <w:sz w:val="20"/>
        </w:rPr>
        <w:t xml:space="preserve">, </w:t>
      </w:r>
      <w:r>
        <w:rPr>
          <w:rFonts w:ascii="Consolas" w:hAnsi="Consolas"/>
          <w:color w:val="333333"/>
          <w:sz w:val="19"/>
        </w:rPr>
        <w:t>31f0f5b3bd530f7e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nauto" TargetMode="External"/><Relationship Id="rId11" Type="http://schemas.openxmlformats.org/officeDocument/2006/relationships/hyperlink" Target="https://www.iitj.ac.in/enauto/en/enau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