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003366"/>
          <w:sz w:val="40"/>
        </w:rPr>
        <w:t>B.S. in Mathematics and Computing</w:t>
      </w:r>
    </w:p>
    <w:p>
      <w:pPr>
        <w:spacing w:before="0" w:after="280"/>
      </w:pPr>
      <w:r>
        <w:rPr>
          <w:rFonts w:ascii="Calibri" w:hAnsi="Calibri"/>
          <w:i/>
          <w:color w:val="666666"/>
          <w:sz w:val="20"/>
        </w:rPr>
        <w:t>Indian Institute of Technology Jodhpur  |  Category: departments/mathematics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Scope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Authoritative institutional knowledge for B.S. in Mathematics and Computing at Indian Institute of Technology Jodhpur.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003366"/>
          </w:tcPr>
          <w:p>
            <w:pPr>
              <w:spacing w:before="60" w:after="60"/>
            </w:pPr>
            <w:r>
              <w:rPr>
                <w:rFonts w:ascii="Calibri" w:hAnsi="Calibri"/>
                <w:color w:val="FFFFFF"/>
                <w:sz w:val="19"/>
              </w:rPr>
              <w:t>Programme Core Courses</w:t>
            </w:r>
          </w:p>
        </w:tc>
        <w:tc>
          <w:tcPr>
            <w:tcW w:type="dxa" w:w="4680"/>
            <w:shd w:fill="003366"/>
          </w:tcPr>
          <w:p>
            <w:pPr>
              <w:spacing w:before="60" w:after="60"/>
            </w:pPr>
            <w:r>
              <w:rPr>
                <w:rFonts w:ascii="Calibri" w:hAnsi="Calibri"/>
                <w:color w:val="FFFFFF"/>
                <w:sz w:val="19"/>
              </w:rPr>
              <w:t>42</w:t>
            </w:r>
          </w:p>
        </w:tc>
      </w:tr>
      <w:tr>
        <w:tc>
          <w:tcPr>
            <w:tcW w:type="dxa" w:w="468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Programme Elective Courses</w:t>
            </w:r>
          </w:p>
        </w:tc>
        <w:tc>
          <w:tcPr>
            <w:tcW w:type="dxa" w:w="468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12</w:t>
            </w:r>
          </w:p>
        </w:tc>
      </w:tr>
      <w:tr>
        <w:tc>
          <w:tcPr>
            <w:tcW w:type="dxa" w:w="468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Open Elective Courses</w:t>
            </w:r>
          </w:p>
        </w:tc>
        <w:tc>
          <w:tcPr>
            <w:tcW w:type="dxa" w:w="468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6</w:t>
            </w:r>
          </w:p>
        </w:tc>
      </w:tr>
      <w:tr>
        <w:tc>
          <w:tcPr>
            <w:tcW w:type="dxa" w:w="468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Industry-Academia Summer Internship (Non-Graded)</w:t>
            </w:r>
          </w:p>
        </w:tc>
        <w:tc>
          <w:tcPr>
            <w:tcW w:type="dxa" w:w="468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c>
          <w:tcPr>
            <w:tcW w:type="dxa" w:w="468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Undergraduate Thesis Project</w:t>
            </w:r>
          </w:p>
        </w:tc>
        <w:tc>
          <w:tcPr>
            <w:tcW w:type="dxa" w:w="468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12</w:t>
            </w:r>
          </w:p>
        </w:tc>
      </w:tr>
      <w:tr>
        <w:tc>
          <w:tcPr>
            <w:tcW w:type="dxa" w:w="468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Total Programme Credits</w:t>
            </w:r>
          </w:p>
        </w:tc>
        <w:tc>
          <w:tcPr>
            <w:tcW w:type="dxa" w:w="468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74</w:t>
            </w:r>
          </w:p>
        </w:tc>
      </w:tr>
    </w:tbl>
    <w:p>
      <w:pPr>
        <w:spacing w:before="0" w:after="120"/>
      </w:pP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Official Sources and Provenance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Canonical Institution: </w:t>
      </w:r>
      <w:hyperlink r:id="rId9">
        <w:r>
          <w:rPr>
            <w:color w:val="004B87"/>
            <w:u w:val="single"/>
          </w:rPr>
          <w:t xml:space="preserve">Indian Institute of Technology Jodhpur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9">
        <w:r>
          <w:rPr>
            <w:color w:val="004B87"/>
            <w:u w:val="single"/>
          </w:rPr>
          <w:t xml:space="preserve">https://iitj.ac.in/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10">
        <w:r>
          <w:rPr>
            <w:color w:val="004B87"/>
            <w:u w:val="single"/>
          </w:rPr>
          <w:t xml:space="preserve">https://www.iitj.ac.in/PageImages/Gallery/06-2026/Concept-Note-BS-Mathematics-Computing-639161752393828689.pdf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11">
        <w:r>
          <w:rPr>
            <w:color w:val="004B87"/>
            <w:u w:val="single"/>
          </w:rPr>
          <w:t xml:space="preserve">https://www.iitj.ac.in/mathematics/en/undergraduate-programs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Traceable Knowledge Units: </w:t>
      </w:r>
      <w:r>
        <w:rPr>
          <w:rFonts w:ascii="Consolas" w:hAnsi="Consolas"/>
          <w:color w:val="333333"/>
          <w:sz w:val="19"/>
        </w:rPr>
        <w:t>eed5aac8386edadf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iitj.ac.in/" TargetMode="External"/><Relationship Id="rId10" Type="http://schemas.openxmlformats.org/officeDocument/2006/relationships/hyperlink" Target="https://www.iitj.ac.in/PageImages/Gallery/06-2026/Concept-Note-BS-Mathematics-Computing-639161752393828689.pdf](https://www.iitj.ac.in/PageImages/Gallery/06-2026/Concept-Note-BS-Mathematics-Computing-639161752393828689.pdf](https://www.iitj.ac.in/PageImages/Gallery/06-2026/Concept-Note-BS-Mathematics-Computing-639161752393828689.pdf" TargetMode="External"/><Relationship Id="rId11" Type="http://schemas.openxmlformats.org/officeDocument/2006/relationships/hyperlink" Target="https://www.iitj.ac.in/mathematics/en/undergraduate-programs](https://www.iitj.ac.in/mathematics/en/undergraduate-programs](https://www.iitj.ac.in/mathematics/en/undergraduate-program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