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Faculty</w:t>
      </w:r>
    </w:p>
    <w:p>
      <w:pPr>
        <w:spacing w:before="0" w:after="280"/>
      </w:pPr>
      <w:r>
        <w:rPr>
          <w:rFonts w:ascii="Calibri" w:hAnsi="Calibri"/>
          <w:i/>
          <w:color w:val="666666"/>
          <w:sz w:val="20"/>
        </w:rPr>
        <w:t>Indian Institute of Technology Jodhpur  |  Category: faculty</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Faculty at Indian Institute of Technology Jodhpur.</w:t>
      </w:r>
    </w:p>
    <w:p>
      <w:pPr>
        <w:keepNext/>
        <w:spacing w:before="280" w:after="80"/>
      </w:pPr>
      <w:r>
        <w:rPr>
          <w:rFonts w:ascii="Calibri" w:hAnsi="Calibri"/>
          <w:color w:val="003366"/>
          <w:sz w:val="26"/>
        </w:rPr>
        <w:t>Visiting Faculty Members</w:t>
      </w:r>
    </w:p>
    <w:p>
      <w:pPr>
        <w:spacing w:before="0" w:after="100" w:line="276" w:lineRule="auto"/>
      </w:pPr>
      <w:r>
        <w:rPr>
          <w:rFonts w:ascii="Calibri" w:hAnsi="Calibri"/>
          <w:sz w:val="20"/>
        </w:rPr>
        <w:t>The Institute is keen to seek the services of superannuated Faculty Members from IITs/IISc and other reputed Institutes/Universities in India and abroad. Currently, the following Visiting Faculty Members are associated with the Institute.</w:t>
      </w:r>
    </w:p>
    <w:p>
      <w:pPr>
        <w:keepNext/>
        <w:spacing w:before="280" w:after="80"/>
      </w:pPr>
      <w:r>
        <w:rPr>
          <w:rFonts w:ascii="Calibri" w:hAnsi="Calibri"/>
          <w:color w:val="003366"/>
          <w:sz w:val="26"/>
        </w:rPr>
        <w:t>Scale of Pay</w:t>
      </w:r>
    </w:p>
    <w:p>
      <w:pPr>
        <w:spacing w:before="0" w:after="100" w:line="276" w:lineRule="auto"/>
      </w:pPr>
      <w:r>
        <w:rPr>
          <w:rFonts w:ascii="Calibri" w:hAnsi="Calibri"/>
          <w:sz w:val="20"/>
        </w:rPr>
        <w:t>The following table provides an estimate of the total approximate emoluments of Faculty Members at IIT Jodhpur in accordance with Government of India’s 7th Pay Commission order:</w:t>
      </w:r>
    </w:p>
    <w:p>
      <w:pPr>
        <w:keepNext/>
        <w:spacing w:before="280" w:after="80"/>
      </w:pPr>
      <w:r>
        <w:rPr>
          <w:rFonts w:ascii="Calibri" w:hAnsi="Calibri"/>
          <w:color w:val="003366"/>
          <w:sz w:val="26"/>
        </w:rPr>
        <w:t>Associate Professor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Designation</w:t>
            </w:r>
          </w:p>
        </w:tc>
        <w:tc>
          <w:tcPr>
            <w:tcW w:type="dxa" w:w="3120"/>
            <w:shd w:fill="003366"/>
          </w:tcPr>
          <w:p>
            <w:pPr>
              <w:spacing w:before="60" w:after="60"/>
            </w:pPr>
            <w:r>
              <w:rPr>
                <w:rFonts w:ascii="Calibri" w:hAnsi="Calibri"/>
                <w:color w:val="FFFFFF"/>
                <w:sz w:val="19"/>
              </w:rPr>
              <w:t>Basic Pay</w:t>
            </w:r>
          </w:p>
        </w:tc>
        <w:tc>
          <w:tcPr>
            <w:tcW w:type="dxa" w:w="3120"/>
            <w:shd w:fill="003366"/>
          </w:tcPr>
          <w:p>
            <w:pPr>
              <w:spacing w:before="60" w:after="60"/>
            </w:pPr>
            <w:r>
              <w:rPr>
                <w:rFonts w:ascii="Calibri" w:hAnsi="Calibri"/>
                <w:color w:val="FFFFFF"/>
                <w:sz w:val="19"/>
              </w:rPr>
              <w:t>Pay Level</w:t>
            </w:r>
          </w:p>
        </w:tc>
      </w:tr>
      <w:tr>
        <w:tc>
          <w:tcPr>
            <w:tcW w:type="dxa" w:w="3120"/>
            <w:shd w:fill="F5F8FA"/>
          </w:tcPr>
          <w:p>
            <w:pPr>
              <w:spacing w:before="60" w:after="60"/>
            </w:pPr>
            <w:r>
              <w:rPr>
                <w:rFonts w:ascii="Calibri" w:hAnsi="Calibri"/>
                <w:sz w:val="19"/>
              </w:rPr>
              <w:t>Associate Professor</w:t>
            </w:r>
          </w:p>
        </w:tc>
        <w:tc>
          <w:tcPr>
            <w:tcW w:type="dxa" w:w="3120"/>
            <w:shd w:fill="F5F8FA"/>
          </w:tcPr>
          <w:p>
            <w:pPr>
              <w:spacing w:before="60" w:after="60"/>
            </w:pPr>
            <w:r>
              <w:rPr>
                <w:rFonts w:ascii="Calibri" w:hAnsi="Calibri"/>
                <w:sz w:val="19"/>
              </w:rPr>
              <w:t>Rs. 1,39,600</w:t>
            </w:r>
          </w:p>
        </w:tc>
        <w:tc>
          <w:tcPr>
            <w:tcW w:type="dxa" w:w="3120"/>
            <w:shd w:fill="F5F8FA"/>
          </w:tcPr>
          <w:p>
            <w:pPr>
              <w:spacing w:before="60" w:after="60"/>
            </w:pPr>
            <w:r>
              <w:rPr>
                <w:rFonts w:ascii="Calibri" w:hAnsi="Calibri"/>
                <w:sz w:val="19"/>
              </w:rPr>
              <w:t>Level 13A2, Cell 1</w:t>
            </w:r>
          </w:p>
        </w:tc>
      </w:tr>
    </w:tbl>
    <w:p>
      <w:pPr>
        <w:spacing w:before="0" w:after="120"/>
      </w:pPr>
    </w:p>
    <w:p>
      <w:pPr>
        <w:spacing w:before="0" w:after="100" w:line="276" w:lineRule="auto"/>
      </w:pPr>
      <w:r>
        <w:rPr>
          <w:rFonts w:ascii="Calibri" w:hAnsi="Calibri"/>
          <w:sz w:val="20"/>
        </w:rPr>
        <w:t>######</w:t>
      </w:r>
    </w:p>
    <w:p>
      <w:pPr>
        <w:keepNext/>
        <w:spacing w:before="280" w:after="80"/>
      </w:pPr>
      <w:hyperlink r:id="rId9">
        <w:r>
          <w:rPr>
            <w:color w:val="004B87"/>
            <w:u w:val="single"/>
          </w:rPr>
          <w:t xml:space="preserve">Professor Avinash Kumar Agarwal</w:t>
        </w:r>
      </w:hyperlink>
    </w:p>
    <w:p>
      <w:pPr>
        <w:spacing w:before="0" w:after="100" w:line="276" w:lineRule="auto"/>
      </w:pPr>
      <w:r>
        <w:rPr>
          <w:rFonts w:ascii="Calibri" w:hAnsi="Calibri"/>
          <w:sz w:val="20"/>
        </w:rPr>
        <w:t>Director, IIT Jodhpur Chairperson, RCRIC</w:t>
      </w:r>
    </w:p>
    <w:p>
      <w:pPr>
        <w:spacing w:before="0" w:after="100" w:line="276" w:lineRule="auto"/>
      </w:pPr>
      <w:r>
        <w:rPr>
          <w:rFonts w:ascii="Calibri" w:hAnsi="Calibri"/>
          <w:i/>
          <w:sz w:val="20"/>
        </w:rPr>
        <w:t>Mr. Narendra Goliya</w:t>
      </w:r>
    </w:p>
    <w:p>
      <w:pPr>
        <w:keepNext/>
        <w:spacing w:before="280" w:after="80"/>
      </w:pPr>
      <w:r>
        <w:rPr>
          <w:rFonts w:ascii="Calibri" w:hAnsi="Calibri"/>
          <w:color w:val="003366"/>
          <w:sz w:val="26"/>
        </w:rPr>
        <w:t>Faculty Development Program on Pedagogy and Technology-enabled Learning</w:t>
      </w:r>
    </w:p>
    <w:p>
      <w:pPr>
        <w:spacing w:before="0" w:after="100" w:line="276" w:lineRule="auto"/>
      </w:pPr>
      <w:r>
        <w:rPr>
          <w:rFonts w:ascii="Calibri" w:hAnsi="Calibri"/>
          <w:sz w:val="20"/>
        </w:rPr>
        <w:t xml:space="preserve">In today's rapidly evolving educational landscape, it is crucial for an educator to stay ahead of the curve. The Center for Education and Technology for Education (CETE), through Executive Education Program (EEP) Office at IIT Jodhpur, invites you to participate in our exclusive </w:t>
      </w:r>
      <w:r>
        <w:rPr>
          <w:rFonts w:ascii="Calibri" w:hAnsi="Calibri"/>
          <w:b/>
          <w:sz w:val="20"/>
        </w:rPr>
        <w:t>Faculty Development Program on Pedagogy and Technology-enabled Learning</w:t>
      </w:r>
      <w:r>
        <w:rPr>
          <w:rFonts w:ascii="Calibri" w:hAnsi="Calibri"/>
          <w:sz w:val="20"/>
        </w:rPr>
        <w:t xml:space="preserve"> , designed to empower educators with innovative teaching pedagogies, technology integration and best practices using education technology. This 5-day online program comprises sessions from global and national experts to give its attendees a competitive edge in the expanding the frontiers of technology-enhanced learning.</w:t>
      </w:r>
    </w:p>
    <w:p>
      <w:pPr>
        <w:spacing w:before="0" w:after="100" w:line="276" w:lineRule="auto"/>
      </w:pPr>
      <w:hyperlink r:id="rId10">
        <w:r>
          <w:rPr>
            <w:color w:val="004B87"/>
            <w:u w:val="single"/>
          </w:rPr>
          <w:t xml:space="preserve">* Who should attend</w:t>
        </w:r>
      </w:hyperlink>
    </w:p>
    <w:p>
      <w:pPr>
        <w:spacing w:before="0" w:after="100" w:line="276" w:lineRule="auto"/>
      </w:pPr>
      <w:hyperlink r:id="rId11">
        <w:r>
          <w:rPr>
            <w:color w:val="004B87"/>
            <w:u w:val="single"/>
          </w:rPr>
          <w:t xml:space="preserve">* Program Objectives</w:t>
        </w:r>
      </w:hyperlink>
    </w:p>
    <w:p>
      <w:pPr>
        <w:spacing w:before="0" w:after="100" w:line="276" w:lineRule="auto"/>
      </w:pPr>
      <w:hyperlink r:id="rId12">
        <w:r>
          <w:rPr>
            <w:color w:val="004B87"/>
            <w:u w:val="single"/>
          </w:rPr>
          <w:t xml:space="preserve">* Learning Outcomes</w:t>
        </w:r>
      </w:hyperlink>
    </w:p>
    <w:p>
      <w:pPr>
        <w:spacing w:before="0" w:after="100" w:line="276" w:lineRule="auto"/>
      </w:pPr>
      <w:hyperlink r:id="rId13">
        <w:r>
          <w:rPr>
            <w:color w:val="004B87"/>
            <w:u w:val="single"/>
          </w:rPr>
          <w:t xml:space="preserve">* Broad Topics to be covered</w:t>
        </w:r>
      </w:hyperlink>
    </w:p>
    <w:p>
      <w:pPr>
        <w:spacing w:before="0" w:after="100" w:line="276" w:lineRule="auto"/>
      </w:pPr>
      <w:hyperlink r:id="rId14">
        <w:r>
          <w:rPr>
            <w:color w:val="004B87"/>
            <w:u w:val="single"/>
          </w:rPr>
          <w:t xml:space="preserve">* Resource Persons</w:t>
        </w:r>
      </w:hyperlink>
    </w:p>
    <w:p>
      <w:pPr>
        <w:spacing w:before="0" w:after="100" w:line="276" w:lineRule="auto"/>
      </w:pPr>
      <w:hyperlink r:id="rId15">
        <w:r>
          <w:rPr>
            <w:color w:val="004B87"/>
            <w:u w:val="single"/>
          </w:rPr>
          <w:t xml:space="preserve">* Registration</w:t>
        </w:r>
      </w:hyperlink>
    </w:p>
    <w:p>
      <w:pPr>
        <w:spacing w:before="0" w:after="100" w:line="276" w:lineRule="auto"/>
      </w:pPr>
      <w:hyperlink r:id="rId16">
        <w:r>
          <w:rPr>
            <w:color w:val="004B87"/>
            <w:u w:val="single"/>
          </w:rPr>
          <w:t xml:space="preserve">* Program &amp; Session Details</w:t>
        </w:r>
      </w:hyperlink>
    </w:p>
    <w:p>
      <w:pPr>
        <w:spacing w:before="0" w:after="100" w:line="276" w:lineRule="auto"/>
      </w:pPr>
      <w:hyperlink r:id="rId17">
        <w:r>
          <w:rPr>
            <w:color w:val="004B87"/>
            <w:u w:val="single"/>
          </w:rPr>
          <w:t xml:space="preserve">* Important Dates</w:t>
        </w:r>
      </w:hyperlink>
    </w:p>
    <w:p>
      <w:pPr>
        <w:spacing w:before="0" w:after="100" w:line="276" w:lineRule="auto"/>
      </w:pPr>
      <w:hyperlink r:id="rId18">
        <w:r>
          <w:rPr>
            <w:color w:val="004B87"/>
            <w:u w:val="single"/>
          </w:rPr>
          <w:t xml:space="preserve">* Contact</w:t>
        </w:r>
      </w:hyperlink>
    </w:p>
    <w:p>
      <w:pPr>
        <w:keepNext/>
        <w:spacing w:before="280" w:after="80"/>
      </w:pPr>
      <w:r>
        <w:rPr>
          <w:rFonts w:ascii="Calibri" w:hAnsi="Calibri"/>
          <w:color w:val="003366"/>
          <w:sz w:val="26"/>
        </w:rPr>
        <w:t>Assistant Professor</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Years of Experience after Ph.D.</w:t>
            </w:r>
          </w:p>
        </w:tc>
        <w:tc>
          <w:tcPr>
            <w:tcW w:type="dxa" w:w="2340"/>
            <w:shd w:fill="003366"/>
          </w:tcPr>
          <w:p>
            <w:pPr>
              <w:spacing w:before="60" w:after="60"/>
            </w:pPr>
            <w:r>
              <w:rPr>
                <w:rFonts w:ascii="Calibri" w:hAnsi="Calibri"/>
                <w:color w:val="FFFFFF"/>
                <w:sz w:val="19"/>
              </w:rPr>
              <w:t>Basic Pay</w:t>
            </w:r>
          </w:p>
        </w:tc>
        <w:tc>
          <w:tcPr>
            <w:tcW w:type="dxa" w:w="2340"/>
            <w:shd w:fill="003366"/>
          </w:tcPr>
          <w:p>
            <w:pPr>
              <w:spacing w:before="60" w:after="60"/>
            </w:pPr>
            <w:r>
              <w:rPr>
                <w:rFonts w:ascii="Calibri" w:hAnsi="Calibri"/>
                <w:color w:val="FFFFFF"/>
                <w:sz w:val="19"/>
              </w:rPr>
              <w:t>Pay Level</w:t>
            </w:r>
          </w:p>
        </w:tc>
        <w:tc>
          <w:tcPr>
            <w:tcW w:type="dxa" w:w="2340"/>
            <w:shd w:fill="003366"/>
          </w:tcPr>
          <w:p>
            <w:pPr>
              <w:spacing w:before="60" w:after="60"/>
            </w:pPr>
            <w:r>
              <w:rPr>
                <w:rFonts w:ascii="Calibri" w:hAnsi="Calibri"/>
                <w:color w:val="FFFFFF"/>
                <w:sz w:val="19"/>
              </w:rPr>
              <w:t>Designation</w:t>
            </w:r>
          </w:p>
        </w:tc>
      </w:tr>
      <w:tr>
        <w:tc>
          <w:tcPr>
            <w:tcW w:type="dxa" w:w="2340"/>
            <w:shd w:fill="F5F8FA"/>
          </w:tcPr>
          <w:p>
            <w:pPr>
              <w:spacing w:before="60" w:after="60"/>
            </w:pPr>
            <w:r>
              <w:rPr>
                <w:rFonts w:ascii="Calibri" w:hAnsi="Calibri"/>
                <w:sz w:val="19"/>
              </w:rPr>
              <w:t>0–1 years</w:t>
            </w:r>
          </w:p>
        </w:tc>
        <w:tc>
          <w:tcPr>
            <w:tcW w:type="dxa" w:w="2340"/>
            <w:shd w:fill="F5F8FA"/>
          </w:tcPr>
          <w:p>
            <w:pPr>
              <w:spacing w:before="60" w:after="60"/>
            </w:pPr>
            <w:r>
              <w:rPr>
                <w:rFonts w:ascii="Calibri" w:hAnsi="Calibri"/>
                <w:sz w:val="19"/>
              </w:rPr>
              <w:t>Rs. 70,900</w:t>
            </w:r>
          </w:p>
        </w:tc>
        <w:tc>
          <w:tcPr>
            <w:tcW w:type="dxa" w:w="2340"/>
            <w:shd w:fill="F5F8FA"/>
          </w:tcPr>
          <w:p>
            <w:pPr>
              <w:spacing w:before="60" w:after="60"/>
            </w:pPr>
            <w:r>
              <w:rPr>
                <w:rFonts w:ascii="Calibri" w:hAnsi="Calibri"/>
                <w:sz w:val="19"/>
              </w:rPr>
              <w:t>Level 10, Cell 8</w:t>
            </w:r>
          </w:p>
        </w:tc>
        <w:tc>
          <w:tcPr>
            <w:tcW w:type="dxa" w:w="2340"/>
            <w:shd w:fill="F5F8FA"/>
          </w:tcPr>
          <w:p>
            <w:pPr>
              <w:spacing w:before="60" w:after="60"/>
            </w:pPr>
            <w:r>
              <w:rPr>
                <w:rFonts w:ascii="Calibri" w:hAnsi="Calibri"/>
                <w:sz w:val="19"/>
              </w:rPr>
              <w:t>Assistant Professor Grade II</w:t>
            </w:r>
          </w:p>
        </w:tc>
      </w:tr>
      <w:tr>
        <w:tc>
          <w:tcPr>
            <w:tcW w:type="dxa" w:w="2340"/>
          </w:tcPr>
          <w:p>
            <w:pPr>
              <w:spacing w:before="60" w:after="60"/>
            </w:pPr>
            <w:r>
              <w:rPr>
                <w:rFonts w:ascii="Calibri" w:hAnsi="Calibri"/>
                <w:sz w:val="19"/>
              </w:rPr>
              <w:t>1–2 years</w:t>
            </w:r>
          </w:p>
        </w:tc>
        <w:tc>
          <w:tcPr>
            <w:tcW w:type="dxa" w:w="2340"/>
          </w:tcPr>
          <w:p>
            <w:pPr>
              <w:spacing w:before="60" w:after="60"/>
            </w:pPr>
            <w:r>
              <w:rPr>
                <w:rFonts w:ascii="Calibri" w:hAnsi="Calibri"/>
                <w:sz w:val="19"/>
              </w:rPr>
              <w:t>Rs. 73,100</w:t>
            </w:r>
          </w:p>
        </w:tc>
        <w:tc>
          <w:tcPr>
            <w:tcW w:type="dxa" w:w="2340"/>
          </w:tcPr>
          <w:p>
            <w:pPr>
              <w:spacing w:before="60" w:after="60"/>
            </w:pPr>
            <w:r>
              <w:rPr>
                <w:rFonts w:ascii="Calibri" w:hAnsi="Calibri"/>
                <w:sz w:val="19"/>
              </w:rPr>
              <w:t>Level 11, Cell 3</w:t>
            </w:r>
          </w:p>
        </w:tc>
        <w:tc>
          <w:tcPr>
            <w:tcW w:type="dxa" w:w="2340"/>
          </w:tcPr>
          <w:p>
            <w:pPr>
              <w:spacing w:before="60" w:after="60"/>
            </w:pPr>
            <w:r>
              <w:rPr>
                <w:rFonts w:ascii="Calibri" w:hAnsi="Calibri"/>
                <w:sz w:val="19"/>
              </w:rPr>
              <w:t>Assistant Professor Grade II</w:t>
            </w:r>
          </w:p>
        </w:tc>
      </w:tr>
      <w:tr>
        <w:tc>
          <w:tcPr>
            <w:tcW w:type="dxa" w:w="2340"/>
            <w:shd w:fill="F5F8FA"/>
          </w:tcPr>
          <w:p>
            <w:pPr>
              <w:spacing w:before="60" w:after="60"/>
            </w:pPr>
            <w:r>
              <w:rPr>
                <w:rFonts w:ascii="Calibri" w:hAnsi="Calibri"/>
                <w:sz w:val="19"/>
              </w:rPr>
              <w:t>2–3 years</w:t>
            </w:r>
          </w:p>
        </w:tc>
        <w:tc>
          <w:tcPr>
            <w:tcW w:type="dxa" w:w="2340"/>
            <w:shd w:fill="F5F8FA"/>
          </w:tcPr>
          <w:p>
            <w:pPr>
              <w:spacing w:before="60" w:after="60"/>
            </w:pPr>
            <w:r>
              <w:rPr>
                <w:rFonts w:ascii="Calibri" w:hAnsi="Calibri"/>
                <w:sz w:val="19"/>
              </w:rPr>
              <w:t>Rs. 75,300</w:t>
            </w:r>
          </w:p>
        </w:tc>
        <w:tc>
          <w:tcPr>
            <w:tcW w:type="dxa" w:w="2340"/>
            <w:shd w:fill="F5F8FA"/>
          </w:tcPr>
          <w:p>
            <w:pPr>
              <w:spacing w:before="60" w:after="60"/>
            </w:pPr>
            <w:r>
              <w:rPr>
                <w:rFonts w:ascii="Calibri" w:hAnsi="Calibri"/>
                <w:sz w:val="19"/>
              </w:rPr>
              <w:t>Level 11, Cell 4</w:t>
            </w:r>
          </w:p>
        </w:tc>
        <w:tc>
          <w:tcPr>
            <w:tcW w:type="dxa" w:w="2340"/>
            <w:shd w:fill="F5F8FA"/>
          </w:tcPr>
          <w:p>
            <w:pPr>
              <w:spacing w:before="60" w:after="60"/>
            </w:pPr>
            <w:r>
              <w:rPr>
                <w:rFonts w:ascii="Calibri" w:hAnsi="Calibri"/>
                <w:sz w:val="19"/>
              </w:rPr>
              <w:t>Assistant Professor Grade II</w:t>
            </w:r>
          </w:p>
        </w:tc>
      </w:tr>
      <w:tr>
        <w:tc>
          <w:tcPr>
            <w:tcW w:type="dxa" w:w="2340"/>
          </w:tcPr>
          <w:p>
            <w:pPr>
              <w:spacing w:before="60" w:after="60"/>
            </w:pPr>
            <w:r>
              <w:rPr>
                <w:rFonts w:ascii="Calibri" w:hAnsi="Calibri"/>
                <w:sz w:val="19"/>
              </w:rPr>
              <w:t>3 years onwards</w:t>
            </w:r>
          </w:p>
        </w:tc>
        <w:tc>
          <w:tcPr>
            <w:tcW w:type="dxa" w:w="2340"/>
          </w:tcPr>
          <w:p>
            <w:pPr>
              <w:spacing w:before="60" w:after="60"/>
            </w:pPr>
            <w:r>
              <w:rPr>
                <w:rFonts w:ascii="Calibri" w:hAnsi="Calibri"/>
                <w:sz w:val="19"/>
              </w:rPr>
              <w:t>Rs. 1,01,500</w:t>
            </w:r>
          </w:p>
        </w:tc>
        <w:tc>
          <w:tcPr>
            <w:tcW w:type="dxa" w:w="2340"/>
          </w:tcPr>
          <w:p>
            <w:pPr>
              <w:spacing w:before="60" w:after="60"/>
            </w:pPr>
            <w:r>
              <w:rPr>
                <w:rFonts w:ascii="Calibri" w:hAnsi="Calibri"/>
                <w:sz w:val="19"/>
              </w:rPr>
              <w:t>Level 12, Cell 1</w:t>
            </w:r>
          </w:p>
        </w:tc>
        <w:tc>
          <w:tcPr>
            <w:tcW w:type="dxa" w:w="2340"/>
          </w:tcPr>
          <w:p>
            <w:pPr>
              <w:spacing w:before="60" w:after="60"/>
            </w:pPr>
            <w:r>
              <w:rPr>
                <w:rFonts w:ascii="Calibri" w:hAnsi="Calibri"/>
                <w:sz w:val="19"/>
              </w:rPr>
              <w:t>Assistant Professor Grade I</w:t>
            </w:r>
          </w:p>
        </w:tc>
      </w:tr>
      <w:tr>
        <w:tc>
          <w:tcPr>
            <w:tcW w:type="dxa" w:w="2340"/>
            <w:shd w:fill="F5F8FA"/>
          </w:tcPr>
          <w:p>
            <w:pPr>
              <w:spacing w:before="60" w:after="60"/>
            </w:pPr>
            <w:r>
              <w:rPr>
                <w:rFonts w:ascii="Calibri" w:hAnsi="Calibri"/>
                <w:sz w:val="19"/>
              </w:rPr>
              <w:t>After 3 years at Level 12</w:t>
            </w:r>
          </w:p>
        </w:tc>
        <w:tc>
          <w:tcPr>
            <w:tcW w:type="dxa" w:w="2340"/>
            <w:shd w:fill="F5F8FA"/>
          </w:tcPr>
          <w:p>
            <w:pPr>
              <w:spacing w:before="60" w:after="60"/>
            </w:pPr>
            <w:r>
              <w:rPr>
                <w:rFonts w:ascii="Calibri" w:hAnsi="Calibri"/>
                <w:sz w:val="19"/>
              </w:rPr>
              <w:t>Rs. 1,31,400</w:t>
            </w:r>
          </w:p>
        </w:tc>
        <w:tc>
          <w:tcPr>
            <w:tcW w:type="dxa" w:w="2340"/>
            <w:shd w:fill="F5F8FA"/>
          </w:tcPr>
          <w:p>
            <w:pPr>
              <w:spacing w:before="60" w:after="60"/>
            </w:pPr>
            <w:r>
              <w:rPr>
                <w:rFonts w:ascii="Calibri" w:hAnsi="Calibri"/>
                <w:sz w:val="19"/>
              </w:rPr>
              <w:t>Level 13A1, Cell 1</w:t>
            </w:r>
          </w:p>
        </w:tc>
        <w:tc>
          <w:tcPr>
            <w:tcW w:type="dxa" w:w="2340"/>
            <w:shd w:fill="F5F8FA"/>
          </w:tcPr>
          <w:p>
            <w:pPr>
              <w:spacing w:before="60" w:after="60"/>
            </w:pPr>
            <w:r>
              <w:rPr>
                <w:rFonts w:ascii="Calibri" w:hAnsi="Calibri"/>
                <w:sz w:val="19"/>
              </w:rPr>
              <w:t>Assistant Professor Grade I</w:t>
            </w:r>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CETE Faculty and Student Colloquium</w:t>
      </w:r>
    </w:p>
    <w:p>
      <w:pPr>
        <w:spacing w:before="0" w:after="100" w:line="276" w:lineRule="auto"/>
      </w:pPr>
      <w:r>
        <w:rPr>
          <w:rFonts w:ascii="Calibri" w:hAnsi="Calibri"/>
          <w:sz w:val="20"/>
        </w:rPr>
        <w:t xml:space="preserve">The </w:t>
      </w:r>
      <w:r>
        <w:rPr>
          <w:rFonts w:ascii="Calibri" w:hAnsi="Calibri"/>
          <w:b/>
          <w:sz w:val="20"/>
        </w:rPr>
        <w:t>CETE Colloquium</w:t>
      </w:r>
      <w:r>
        <w:rPr>
          <w:rFonts w:ascii="Calibri" w:hAnsi="Calibri"/>
          <w:sz w:val="20"/>
        </w:rPr>
        <w:t xml:space="preserve"> is a weekly gathering of students and faculty members to promote intellectual exchange, collaboration, and the dissemination of knowledge within the field of education. It aims to nurture the growth of both students and faculty members while fostering a strong sense of community and dedication to educational research.</w:t>
      </w:r>
    </w:p>
    <w:p>
      <w:pPr>
        <w:spacing w:before="0" w:after="100" w:line="276" w:lineRule="auto"/>
      </w:pPr>
      <w:r>
        <w:rPr>
          <w:rFonts w:ascii="Calibri" w:hAnsi="Calibri"/>
          <w:sz w:val="20"/>
        </w:rPr>
        <w:t>[](https://meet.google.com/ein-fkus-tdq)</w:t>
      </w:r>
    </w:p>
    <w:p>
      <w:pPr>
        <w:spacing w:before="0" w:after="100" w:line="276" w:lineRule="auto"/>
      </w:pPr>
      <w:r>
        <w:rPr>
          <w:rFonts w:ascii="Calibri" w:hAnsi="Calibri"/>
          <w:sz w:val="20"/>
        </w:rPr>
        <w:t>Every Wednesday, 5 PM</w:t>
      </w:r>
    </w:p>
    <w:p>
      <w:pPr>
        <w:keepNext/>
        <w:spacing w:before="280" w:after="80"/>
      </w:pPr>
      <w:r>
        <w:rPr>
          <w:rFonts w:ascii="Calibri" w:hAnsi="Calibri"/>
          <w:color w:val="003366"/>
          <w:sz w:val="26"/>
        </w:rPr>
        <w:t>Faculty Members</w:t>
      </w:r>
    </w:p>
    <w:p>
      <w:pPr>
        <w:spacing w:before="0" w:after="100" w:line="276" w:lineRule="auto"/>
      </w:pPr>
      <w:r>
        <w:rPr>
          <w:rFonts w:ascii="Calibri" w:hAnsi="Calibri"/>
          <w:sz w:val="20"/>
        </w:rPr>
        <w:t>The Institute has appointed Faculty Members with backgrounds in different disciplines. They are organised through the following academic Departments, Schools, IDRPs, and Centers:</w:t>
      </w:r>
    </w:p>
    <w:p>
      <w:pPr>
        <w:keepNext/>
        <w:spacing w:before="280" w:after="80"/>
      </w:pPr>
      <w:r>
        <w:rPr>
          <w:rFonts w:ascii="Calibri" w:hAnsi="Calibri"/>
          <w:color w:val="003366"/>
          <w:sz w:val="26"/>
        </w:rPr>
        <w:t>Professor Avinash Kumar Agarwal</w:t>
      </w:r>
    </w:p>
    <w:p>
      <w:pPr>
        <w:spacing w:before="0" w:after="100" w:line="276" w:lineRule="auto"/>
      </w:pPr>
      <w:r>
        <w:rPr>
          <w:rFonts w:ascii="Calibri" w:hAnsi="Calibri"/>
          <w:sz w:val="20"/>
        </w:rPr>
        <w:t>Director, Indian Institute of Technology Jodhpur (IITJ)</w:t>
      </w:r>
    </w:p>
    <w:p>
      <w:pPr>
        <w:keepNext/>
        <w:spacing w:before="280" w:after="80"/>
      </w:pPr>
      <w:r>
        <w:rPr>
          <w:rFonts w:ascii="Calibri" w:hAnsi="Calibri"/>
          <w:color w:val="003366"/>
          <w:sz w:val="26"/>
        </w:rPr>
        <w:t>Adjunct Faculty Members</w:t>
      </w:r>
    </w:p>
    <w:p>
      <w:pPr>
        <w:spacing w:before="0" w:after="100" w:line="276" w:lineRule="auto"/>
      </w:pPr>
      <w:r>
        <w:rPr>
          <w:rFonts w:ascii="Calibri" w:hAnsi="Calibri"/>
          <w:sz w:val="20"/>
        </w:rPr>
        <w:t>The Institute invites academics and industrialists of standing to the Institute to engage with the young Faculty Members and Students of the Institute, in teaching-learning and research-innovation activities. Currently, the Institute has below mentioned Adjunct Faculty Members.</w:t>
      </w:r>
    </w:p>
    <w:p>
      <w:pPr>
        <w:keepNext/>
        <w:spacing w:before="280" w:after="80"/>
      </w:pPr>
      <w:r>
        <w:rPr>
          <w:rFonts w:ascii="Calibri" w:hAnsi="Calibri"/>
          <w:color w:val="003366"/>
          <w:sz w:val="26"/>
        </w:rPr>
        <w:t>Professor Bhabani Kumar Satapathy (Date of Appointment: 01.09.2025)</w:t>
      </w:r>
    </w:p>
    <w:p>
      <w:pPr>
        <w:spacing w:before="0" w:after="100" w:line="276" w:lineRule="auto"/>
      </w:pPr>
      <w:r>
        <w:rPr>
          <w:rFonts w:ascii="Calibri" w:hAnsi="Calibri"/>
          <w:sz w:val="20"/>
        </w:rPr>
        <w:t>Deputy Director</w:t>
      </w:r>
    </w:p>
    <w:p>
      <w:pPr>
        <w:spacing w:before="0" w:after="100" w:line="276" w:lineRule="auto"/>
      </w:pPr>
      <w:r>
        <w:rPr>
          <w:rFonts w:ascii="Calibri" w:hAnsi="Calibri"/>
          <w:sz w:val="20"/>
        </w:rPr>
        <w:t>home</w:t>
      </w:r>
    </w:p>
    <w:p>
      <w:pPr>
        <w:spacing w:before="0" w:after="100" w:line="276" w:lineRule="auto"/>
      </w:pPr>
      <w:r>
        <w:rPr>
          <w:rFonts w:ascii="Calibri" w:hAnsi="Calibri"/>
          <w:sz w:val="20"/>
        </w:rPr>
        <w:t>Indian Institute of Technology Jodhpur, NH 62 Nagaur Road, Karwar 342030, Jodhpur District</w:t>
      </w:r>
    </w:p>
    <w:p>
      <w:pPr>
        <w:spacing w:before="0" w:after="100" w:line="276" w:lineRule="auto"/>
      </w:pPr>
      <w:r>
        <w:rPr>
          <w:rFonts w:ascii="Calibri" w:hAnsi="Calibri"/>
          <w:sz w:val="20"/>
        </w:rPr>
        <w:t>emailfaa_rti[at]iitj[dot]ac[dot]in</w:t>
      </w:r>
    </w:p>
    <w:p>
      <w:pPr>
        <w:spacing w:before="0" w:after="100" w:line="276" w:lineRule="auto"/>
      </w:pPr>
      <w:r>
        <w:rPr>
          <w:rFonts w:ascii="Calibri" w:hAnsi="Calibri"/>
          <w:sz w:val="20"/>
        </w:rPr>
        <w:t>call0291 280 1015</w:t>
      </w:r>
    </w:p>
    <w:p>
      <w:pPr>
        <w:keepNext/>
        <w:spacing w:before="280" w:after="80"/>
      </w:pPr>
      <w:r>
        <w:rPr>
          <w:rFonts w:ascii="Calibri" w:hAnsi="Calibri"/>
          <w:color w:val="003366"/>
          <w:sz w:val="26"/>
        </w:rPr>
        <w:t>Welcome to Faculty Positions Portal</w:t>
      </w:r>
    </w:p>
    <w:p>
      <w:pPr>
        <w:spacing w:before="0" w:after="100" w:line="276" w:lineRule="auto"/>
      </w:pPr>
      <w:r>
        <w:rPr>
          <w:rFonts w:ascii="Calibri" w:hAnsi="Calibri"/>
          <w:sz w:val="20"/>
        </w:rPr>
        <w:t xml:space="preserve">Indian Institute of Technology Jodhpur (IIT Jodhpur) invites online applications from Indian and Foreign Nationals with exceptional academic record, relevant teaching experience, excellent research record and valuable industrial experience for full-time faculty positions of </w:t>
      </w:r>
      <w:r>
        <w:rPr>
          <w:rFonts w:ascii="Calibri" w:hAnsi="Calibri"/>
          <w:b/>
          <w:sz w:val="20"/>
        </w:rPr>
        <w:t>Professor</w:t>
      </w:r>
      <w:r>
        <w:rPr>
          <w:rFonts w:ascii="Calibri" w:hAnsi="Calibri"/>
          <w:sz w:val="20"/>
        </w:rPr>
        <w:t xml:space="preserve"> , </w:t>
      </w:r>
      <w:r>
        <w:rPr>
          <w:rFonts w:ascii="Calibri" w:hAnsi="Calibri"/>
          <w:b/>
          <w:sz w:val="20"/>
        </w:rPr>
        <w:t>Associate Professor</w:t>
      </w:r>
      <w:r>
        <w:rPr>
          <w:rFonts w:ascii="Calibri" w:hAnsi="Calibri"/>
          <w:sz w:val="20"/>
        </w:rPr>
        <w:t xml:space="preserve"> and </w:t>
      </w:r>
      <w:r>
        <w:rPr>
          <w:rFonts w:ascii="Calibri" w:hAnsi="Calibri"/>
          <w:b/>
          <w:sz w:val="20"/>
        </w:rPr>
        <w:t>Assistant Professor</w:t>
      </w:r>
      <w:r>
        <w:rPr>
          <w:rFonts w:ascii="Calibri" w:hAnsi="Calibri"/>
          <w:sz w:val="20"/>
        </w:rPr>
        <w:t xml:space="preserve"> to conduct teaching and research in the following Departments and Schools.</w:t>
      </w:r>
    </w:p>
    <w:p>
      <w:pPr>
        <w:keepNext/>
        <w:spacing w:before="280" w:after="80"/>
      </w:pPr>
      <w:r>
        <w:rPr>
          <w:rFonts w:ascii="Calibri" w:hAnsi="Calibri"/>
          <w:color w:val="003366"/>
          <w:sz w:val="26"/>
        </w:rPr>
        <w:t>Welcome To Office of Faculty Affairs/ Establishment (E-I)</w:t>
      </w:r>
    </w:p>
    <w:p>
      <w:pPr>
        <w:spacing w:before="0" w:after="100" w:line="276" w:lineRule="auto"/>
      </w:pPr>
      <w:r>
        <w:rPr>
          <w:rFonts w:ascii="Calibri" w:hAnsi="Calibri"/>
          <w:sz w:val="20"/>
        </w:rPr>
        <w:t>The Office of Faculty Affairs/ Establishment (E-I) at the Indian Institute of Technology Jodhpur is responsible for managing the non-faculty staff and ensuring the smooth administration of the institute. Our mission is to support the institute’s operational efficiency and foster a conducive work environment through comprehensive human resource management and effective administrative processes. We handle various functions including recruitment, appointments, service records management, promotions, and retirements of non-faculty staff. Our team is committed to attracting, developing, and retaining skilled personnel essential for the institute's operations.</w:t>
      </w:r>
    </w:p>
    <w:p>
      <w:pPr>
        <w:spacing w:before="0" w:after="100" w:line="276" w:lineRule="auto"/>
      </w:pPr>
      <w:r>
        <w:rPr>
          <w:rFonts w:ascii="Calibri" w:hAnsi="Calibri"/>
          <w:sz w:val="20"/>
        </w:rPr>
        <w:t>The Office of Faculty Affairs/ Establishment (E-I) ensures that all non-faculty staff members have access to necessary resources and support. We manage employee benefits, handle HR-related inquiries, and maintain accurate and up-to-date personnel records. Our office also conducts orientation and onboarding programs for new hires, ensuring their smooth integration into the institute. We emphasize continuous professional development by organizing training programs and workshops that enhance the skills and capabilities of our non-faculty staff. This commitment to development helps our employees grow in their roles and contribute effectively to IIT Jodhpur's mission.</w:t>
      </w:r>
    </w:p>
    <w:p>
      <w:pPr>
        <w:spacing w:before="0" w:after="100" w:line="276" w:lineRule="auto"/>
      </w:pPr>
      <w:r>
        <w:rPr>
          <w:rFonts w:ascii="Calibri" w:hAnsi="Calibri"/>
          <w:sz w:val="20"/>
        </w:rPr>
        <w:t>Through our transparent and efficient administrative practices, we aim to create a supportive and dynamic workplace that upholds the highest standards of governance and integrity.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https://iitj.ac.in/main/en/director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https://www.iitj.ac.in/cete/en/fdp-on-pedagogy-and-tel#fdp_wsa</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https://www.iitj.ac.in/cete/en/fdp-on-pedagogy-and-tel#fdp_po</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https://www.iitj.ac.in/cete/en/fdp-on-pedagogy-and-tel#fdp_lo</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https://www.iitj.ac.in/cete/en/fdp-on-pedagogy-and-tel#fdp_btc</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https://www.iitj.ac.in/cete/en/fdp-on-pedagogy-and-tel#fdp_rp</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https://www.iitj.ac.in/cete/en/fdp-on-pedagogy-and-tel#fdp_reg</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https://www.iitj.ac.in/cete/en/fdp-on-pedagogy-and-tel#fdp_psd</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https://www.iitj.ac.in/cete/en/fdp-on-pedagogy-and-tel#fdp_id</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https://www.iitj.ac.in/cete/en/fdp-on-pedagogy-and-tel#fdp_co</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https://www.iitj.ac.in/main/en/visiting-faculty-members</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https://www.iitj.ac.in/faculty-positions/en/scale-of-pay</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https://www.iitj.ac.in/rcrice/en/About</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https://www.iitj.ac.in/cete/en/fdp-on-pedagogy-and-tel</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https://www.iitj.ac.in/cete/en/cete-faculty-and-student-colloquium</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https://www.iitj.ac.in/main/en/faculty-members</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https://www.iitj.ac.in/dia-coe/en/photo-gallery</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https://www.iitj.ac.in/main/en/adjunct-faculty-members</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https://www.iitj.ac.in/RTI/Index?type=44adc1ac-6022-4208-838a-c5c8cc83019c</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https://www.iitj.ac.in/faculty-positions/en/faculty-positions</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https://www.iitj.ac.in/office-of-establishment-e-I/en/Office-of-Establishment-(E-I</w:t>
        </w:r>
      </w:hyperlink>
    </w:p>
    <w:p>
      <w:pPr>
        <w:pStyle w:val="ListBullet"/>
        <w:spacing w:before="20" w:after="40"/>
      </w:pPr>
      <w:r>
        <w:rPr>
          <w:rFonts w:ascii="Calibri" w:hAnsi="Calibri"/>
          <w:sz w:val="20"/>
        </w:rPr>
        <w:t xml:space="preserve">Traceable Knowledge Units: </w:t>
      </w:r>
      <w:r>
        <w:rPr>
          <w:rFonts w:ascii="Consolas" w:hAnsi="Consolas"/>
          <w:color w:val="333333"/>
          <w:sz w:val="19"/>
        </w:rPr>
        <w:t>0cfd6837187f077f</w:t>
      </w:r>
      <w:r>
        <w:rPr>
          <w:rFonts w:ascii="Calibri" w:hAnsi="Calibri"/>
          <w:sz w:val="20"/>
        </w:rPr>
        <w:t xml:space="preserve">, </w:t>
      </w:r>
      <w:r>
        <w:rPr>
          <w:rFonts w:ascii="Consolas" w:hAnsi="Consolas"/>
          <w:color w:val="333333"/>
          <w:sz w:val="19"/>
        </w:rPr>
        <w:t>14443e75ade300d4</w:t>
      </w:r>
      <w:r>
        <w:rPr>
          <w:rFonts w:ascii="Calibri" w:hAnsi="Calibri"/>
          <w:sz w:val="20"/>
        </w:rPr>
        <w:t xml:space="preserve">, </w:t>
      </w:r>
      <w:r>
        <w:rPr>
          <w:rFonts w:ascii="Consolas" w:hAnsi="Consolas"/>
          <w:color w:val="333333"/>
          <w:sz w:val="19"/>
        </w:rPr>
        <w:t>3567a65a48357d5c</w:t>
      </w:r>
      <w:r>
        <w:rPr>
          <w:rFonts w:ascii="Calibri" w:hAnsi="Calibri"/>
          <w:sz w:val="20"/>
        </w:rPr>
        <w:t xml:space="preserve">, </w:t>
      </w:r>
      <w:r>
        <w:rPr>
          <w:rFonts w:ascii="Consolas" w:hAnsi="Consolas"/>
          <w:color w:val="333333"/>
          <w:sz w:val="19"/>
        </w:rPr>
        <w:t>716ac16afff9374d</w:t>
      </w:r>
      <w:r>
        <w:rPr>
          <w:rFonts w:ascii="Calibri" w:hAnsi="Calibri"/>
          <w:sz w:val="20"/>
        </w:rPr>
        <w:t xml:space="preserve">, </w:t>
      </w:r>
      <w:r>
        <w:rPr>
          <w:rFonts w:ascii="Consolas" w:hAnsi="Consolas"/>
          <w:color w:val="333333"/>
          <w:sz w:val="19"/>
        </w:rPr>
        <w:t>87a5c3127666f395</w:t>
      </w:r>
      <w:r>
        <w:rPr>
          <w:rFonts w:ascii="Calibri" w:hAnsi="Calibri"/>
          <w:sz w:val="20"/>
        </w:rPr>
        <w:t xml:space="preserve">, </w:t>
      </w:r>
      <w:r>
        <w:rPr>
          <w:rFonts w:ascii="Consolas" w:hAnsi="Consolas"/>
          <w:color w:val="333333"/>
          <w:sz w:val="19"/>
        </w:rPr>
        <w:t>8a54cda6835cfac0</w:t>
      </w:r>
      <w:r>
        <w:rPr>
          <w:rFonts w:ascii="Calibri" w:hAnsi="Calibri"/>
          <w:sz w:val="20"/>
        </w:rPr>
        <w:t xml:space="preserve">, </w:t>
      </w:r>
      <w:r>
        <w:rPr>
          <w:rFonts w:ascii="Consolas" w:hAnsi="Consolas"/>
          <w:color w:val="333333"/>
          <w:sz w:val="19"/>
        </w:rPr>
        <w:t>b5c62983efdeefee</w:t>
      </w:r>
      <w:r>
        <w:rPr>
          <w:rFonts w:ascii="Calibri" w:hAnsi="Calibri"/>
          <w:sz w:val="20"/>
        </w:rPr>
        <w:t xml:space="preserve">, </w:t>
      </w:r>
      <w:r>
        <w:rPr>
          <w:rFonts w:ascii="Consolas" w:hAnsi="Consolas"/>
          <w:color w:val="333333"/>
          <w:sz w:val="19"/>
        </w:rPr>
        <w:t>c2c5d5687c2a8105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main/en/director" TargetMode="External"/><Relationship Id="rId10" Type="http://schemas.openxmlformats.org/officeDocument/2006/relationships/hyperlink" Target="https://www.iitj.ac.in/cete/en/fdp-on-pedagogy-and-tel#fdp_wsa" TargetMode="External"/><Relationship Id="rId11" Type="http://schemas.openxmlformats.org/officeDocument/2006/relationships/hyperlink" Target="https://www.iitj.ac.in/cete/en/fdp-on-pedagogy-and-tel#fdp_po" TargetMode="External"/><Relationship Id="rId12" Type="http://schemas.openxmlformats.org/officeDocument/2006/relationships/hyperlink" Target="https://www.iitj.ac.in/cete/en/fdp-on-pedagogy-and-tel#fdp_lo" TargetMode="External"/><Relationship Id="rId13" Type="http://schemas.openxmlformats.org/officeDocument/2006/relationships/hyperlink" Target="https://www.iitj.ac.in/cete/en/fdp-on-pedagogy-and-tel#fdp_btc" TargetMode="External"/><Relationship Id="rId14" Type="http://schemas.openxmlformats.org/officeDocument/2006/relationships/hyperlink" Target="https://www.iitj.ac.in/cete/en/fdp-on-pedagogy-and-tel#fdp_rp" TargetMode="External"/><Relationship Id="rId15" Type="http://schemas.openxmlformats.org/officeDocument/2006/relationships/hyperlink" Target="https://www.iitj.ac.in/cete/en/fdp-on-pedagogy-and-tel#fdp_reg" TargetMode="External"/><Relationship Id="rId16" Type="http://schemas.openxmlformats.org/officeDocument/2006/relationships/hyperlink" Target="https://www.iitj.ac.in/cete/en/fdp-on-pedagogy-and-tel#fdp_psd" TargetMode="External"/><Relationship Id="rId17" Type="http://schemas.openxmlformats.org/officeDocument/2006/relationships/hyperlink" Target="https://www.iitj.ac.in/cete/en/fdp-on-pedagogy-and-tel#fdp_id" TargetMode="External"/><Relationship Id="rId18" Type="http://schemas.openxmlformats.org/officeDocument/2006/relationships/hyperlink" Target="https://www.iitj.ac.in/cete/en/fdp-on-pedagogy-and-tel#fdp_co" TargetMode="External"/><Relationship Id="rId19" Type="http://schemas.openxmlformats.org/officeDocument/2006/relationships/hyperlink" Target="https://iitj.ac.in/" TargetMode="External"/><Relationship Id="rId20" Type="http://schemas.openxmlformats.org/officeDocument/2006/relationships/hyperlink" Target="https://www.iitj.ac.in/main/en/visiting-faculty-members" TargetMode="External"/><Relationship Id="rId21" Type="http://schemas.openxmlformats.org/officeDocument/2006/relationships/hyperlink" Target="https://www.iitj.ac.in/faculty-positions/en/scale-of-pay" TargetMode="External"/><Relationship Id="rId22" Type="http://schemas.openxmlformats.org/officeDocument/2006/relationships/hyperlink" Target="https://www.iitj.ac.in/rcrice/en/About" TargetMode="External"/><Relationship Id="rId23" Type="http://schemas.openxmlformats.org/officeDocument/2006/relationships/hyperlink" Target="https://www.iitj.ac.in/cete/en/fdp-on-pedagogy-and-tel" TargetMode="External"/><Relationship Id="rId24" Type="http://schemas.openxmlformats.org/officeDocument/2006/relationships/hyperlink" Target="https://www.iitj.ac.in/cete/en/cete-faculty-and-student-colloquium" TargetMode="External"/><Relationship Id="rId25" Type="http://schemas.openxmlformats.org/officeDocument/2006/relationships/hyperlink" Target="https://www.iitj.ac.in/main/en/faculty-members" TargetMode="External"/><Relationship Id="rId26" Type="http://schemas.openxmlformats.org/officeDocument/2006/relationships/hyperlink" Target="https://www.iitj.ac.in/dia-coe/en/photo-gallery" TargetMode="External"/><Relationship Id="rId27" Type="http://schemas.openxmlformats.org/officeDocument/2006/relationships/hyperlink" Target="https://www.iitj.ac.in/main/en/adjunct-faculty-members" TargetMode="External"/><Relationship Id="rId28" Type="http://schemas.openxmlformats.org/officeDocument/2006/relationships/hyperlink" Target="https://www.iitj.ac.in/RTI/Index?type=44adc1ac-6022-4208-838a-c5c8cc83019c" TargetMode="External"/><Relationship Id="rId29" Type="http://schemas.openxmlformats.org/officeDocument/2006/relationships/hyperlink" Target="https://www.iitj.ac.in/faculty-positions/en/faculty-positions" TargetMode="External"/><Relationship Id="rId30" Type="http://schemas.openxmlformats.org/officeDocument/2006/relationships/hyperlink" Target="https://www.iitj.ac.in/office-of-establishment-e-I/en/Office-of-Establishment-(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