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3366"/>
          <w:sz w:val="40"/>
        </w:rPr>
        <w:t>Indian Institute of Technology Jodhpur — Overview</w:t>
      </w:r>
    </w:p>
    <w:p>
      <w:pPr>
        <w:spacing w:before="0" w:after="280"/>
      </w:pPr>
      <w:r>
        <w:rPr>
          <w:rFonts w:ascii="Calibri" w:hAnsi="Calibri"/>
          <w:i/>
          <w:color w:val="666666"/>
          <w:sz w:val="20"/>
        </w:rPr>
        <w:t>Indian Institute of Technology Jodhpur  |  Category: institute_overview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Authoritative institutional knowledge for Indian Institute of Technology Jodhpur — Overview at Indian Institute of Technology Jodhpur.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Institutional Profile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Indian Institute of Technology Jodhpur (IIT Jodhpur) was established in 2008 as one of the second-generation IITs by the Ministry of Education (formerly Ministry of Human Resource Development), Government of India. The Institute is situated on a sprawling 852-acre campus on National Highway 62 in Karwar, Jodhpur, Rajasthan.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Academic and Research Vision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IIT Jodhpur is dedicated to nurturing excellence in engineering, science, humanities, and interdisciplinary domains. The Institute operates through evidenced academic departments, specialized interdisciplinary schools (such as Artificial Intelligence &amp; Data Science, Management &amp; Entrepreneurship, Design, and Liberal Arts), and multidisciplinary research platforms designed to solve technological and societal challenges of national and international significance.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Residential and Campus Infrastructure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The Institute adheres to a fully residential model comprising 17 student hostels, state-of-the-art computational infrastructure, primary healthcare facilities, centralized sports amenities, and advanced fabrication and instrumentation laboratories.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Canonical Institution: </w:t>
      </w:r>
      <w:hyperlink r:id="rId9">
        <w:r>
          <w:rPr>
            <w:color w:val="004B87"/>
            <w:u w:val="single"/>
          </w:rPr>
          <w:t xml:space="preserve">Indian Institute of Technology Jodhpur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0">
        <w:r>
          <w:rPr>
            <w:color w:val="004B87"/>
            <w:u w:val="single"/>
          </w:rPr>
          <w:t xml:space="preserve">https://www.iitj.ac.in/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Traceable Knowledge Units: </w:t>
      </w:r>
      <w:r>
        <w:rPr>
          <w:rFonts w:ascii="Consolas" w:hAnsi="Consolas"/>
          <w:color w:val="333333"/>
          <w:sz w:val="19"/>
        </w:rPr>
        <w:t>32ef28890f500c1b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iitj.ac.in/" TargetMode="External"/><Relationship Id="rId10" Type="http://schemas.openxmlformats.org/officeDocument/2006/relationships/hyperlink" Target="https://www.iitj.ac.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