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Office of Academics — Examinations and Grading</w:t>
      </w:r>
    </w:p>
    <w:p>
      <w:pPr>
        <w:spacing w:before="0" w:after="280"/>
      </w:pPr>
      <w:r>
        <w:rPr>
          <w:rFonts w:ascii="Calibri" w:hAnsi="Calibri"/>
          <w:i/>
          <w:color w:val="666666"/>
          <w:sz w:val="20"/>
        </w:rPr>
        <w:t>Indian Institute of Technology Jodhpur  |  Category: offices_and_administration/office_of_academics</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Office of Academics — Examinations and Grading at Indian Institute of Technology Jodhpur.</w:t>
      </w:r>
    </w:p>
    <w:p>
      <w:pPr>
        <w:keepNext/>
        <w:spacing w:before="280" w:after="80"/>
      </w:pPr>
      <w:r>
        <w:rPr>
          <w:rFonts w:ascii="Calibri" w:hAnsi="Calibri"/>
          <w:color w:val="003366"/>
          <w:sz w:val="26"/>
        </w:rPr>
        <w:t>6. Grade Card and Transcript</w:t>
      </w:r>
    </w:p>
    <w:p>
      <w:pPr>
        <w:spacing w:before="0" w:after="100" w:line="276" w:lineRule="auto"/>
      </w:pPr>
      <w:r>
        <w:rPr>
          <w:rFonts w:ascii="Calibri" w:hAnsi="Calibri"/>
          <w:sz w:val="20"/>
        </w:rPr>
        <w:t>[ [Back to index] ](https://www.iitj.ac.in/office-of-academics/en/academic-regulations#top6.%20Grade%20Card%20and%20Transcript)</w:t>
      </w:r>
    </w:p>
    <w:p>
      <w:pPr>
        <w:spacing w:before="0" w:after="100" w:line="276" w:lineRule="auto"/>
      </w:pPr>
      <w:r>
        <w:rPr>
          <w:rFonts w:ascii="Calibri" w:hAnsi="Calibri"/>
          <w:sz w:val="20"/>
        </w:rPr>
        <w:t>A Grade Card shall be issued to each student at the end of each semester, and a Transcript at the end of the Programme. IIT Jodhpur Grade Card and Transcript will only indicate the courses, credits and grades completed at IIT Jodhpur and the total number of credits (without grades) earned in other academic institutions in a particular semester, if applicable.</w:t>
      </w:r>
    </w:p>
    <w:p>
      <w:pPr>
        <w:keepNext/>
        <w:spacing w:before="280" w:after="80"/>
      </w:pPr>
      <w:r>
        <w:rPr>
          <w:rFonts w:ascii="Calibri" w:hAnsi="Calibri"/>
          <w:color w:val="003366"/>
          <w:sz w:val="26"/>
        </w:rPr>
        <w:t>5.2 Procedure for declaration of results</w:t>
      </w:r>
    </w:p>
    <w:p>
      <w:pPr>
        <w:spacing w:before="0" w:after="100" w:line="276" w:lineRule="auto"/>
      </w:pPr>
      <w:r>
        <w:rPr>
          <w:rFonts w:ascii="Calibri" w:hAnsi="Calibri"/>
          <w:sz w:val="20"/>
        </w:rPr>
        <w:t>[ [Back to index] ](https://www.iitj.ac.in/office-of-academics/en/academic-regulations#top5.2%20Procedure%20for%20declaration%20of%20results)</w:t>
      </w:r>
    </w:p>
    <w:p>
      <w:pPr>
        <w:spacing w:before="0" w:after="100" w:line="276" w:lineRule="auto"/>
      </w:pPr>
      <w:r>
        <w:rPr>
          <w:rFonts w:ascii="Calibri" w:hAnsi="Calibri"/>
          <w:sz w:val="20"/>
        </w:rPr>
        <w:t>The following procedure would be followed for declaration of results and time line would be as per Academic Calendar.Evaluation scheme to be displayed by instructors at the start of a semester:Display of answer sheets and all scores by instructors.Finalization of grades by instructorsGrade moderation by department/institute level committee for department/institute wide coursesRecommendation of grades by the Head of the Department after scrutiny of grades by a moderation committeeDisplay of grades by InstructorsGrade correction, if any, within 48 hours of display of grades after approval of the head of the departmentApproval of Grade by the Dean (UG/PG)/Associate Dean(UG/PGs)Finalization of results by the Dean (UG/PG)/Associate Dean(UG/PG)Approval of results by the Chairman SenateResults once approved cannot be changed under any circumstance. In exceptional cases, the Student may appeal to the Chairman, Senate for reconsideration, with formal justification.</w:t>
      </w:r>
    </w:p>
    <w:p>
      <w:pPr>
        <w:keepNext/>
        <w:spacing w:before="280" w:after="80"/>
      </w:pPr>
      <w:r>
        <w:rPr>
          <w:rFonts w:ascii="Calibri" w:hAnsi="Calibri"/>
          <w:color w:val="003366"/>
          <w:sz w:val="26"/>
        </w:rPr>
        <w:t>5.3.1 Semester Grade Point Average</w:t>
      </w:r>
    </w:p>
    <w:p>
      <w:pPr>
        <w:spacing w:before="0" w:after="100" w:line="276" w:lineRule="auto"/>
      </w:pPr>
      <w:r>
        <w:rPr>
          <w:rFonts w:ascii="Calibri" w:hAnsi="Calibri"/>
          <w:sz w:val="20"/>
        </w:rPr>
        <w:t>The Semester Grade Point Average (SGPA) is a weighted average of the grades earned by a student in all the courses credited by her/him and reflects her/his academic performance in the respective semester. If the grade points associated with the letter grades earned by a student in N courses registered during a semester are G1, G2, … GN, and the corresponding credits C1, C2, … CN, then the SGPA is given by the following formula:</w:t>
      </w:r>
    </w:p>
    <w:p>
      <w:pPr>
        <w:spacing w:before="0" w:after="100" w:line="276" w:lineRule="auto"/>
      </w:pPr>
      <w:r>
        <w:rPr>
          <w:rFonts w:ascii="Calibri" w:hAnsi="Calibri"/>
          <w:sz w:val="20"/>
        </w:rPr>
        <w:t>The SGPA is calculated on the basis of grades obtained in all courses, except audit courses and courses in which S/X grade is awarded, registered in a particular semester.</w:t>
      </w:r>
    </w:p>
    <w:p>
      <w:pPr>
        <w:keepNext/>
        <w:spacing w:before="280" w:after="80"/>
      </w:pPr>
      <w:r>
        <w:rPr>
          <w:rFonts w:ascii="Calibri" w:hAnsi="Calibri"/>
          <w:color w:val="003366"/>
          <w:sz w:val="26"/>
        </w:rPr>
        <w:t>8. Make-up Examinations</w:t>
      </w:r>
    </w:p>
    <w:p>
      <w:pPr>
        <w:spacing w:before="0" w:after="100" w:line="276" w:lineRule="auto"/>
      </w:pPr>
      <w:r>
        <w:rPr>
          <w:rFonts w:ascii="Calibri" w:hAnsi="Calibri"/>
          <w:sz w:val="20"/>
        </w:rPr>
        <w:t>[ [Back to index] ](https://www.iitj.ac.in/office-of-academics/en/academic-regulations#top8.%20Make-up%20Examinations)</w:t>
      </w:r>
    </w:p>
    <w:p>
      <w:pPr>
        <w:spacing w:before="0" w:after="100" w:line="276" w:lineRule="auto"/>
      </w:pPr>
      <w:r>
        <w:rPr>
          <w:rFonts w:ascii="Calibri" w:hAnsi="Calibri"/>
          <w:sz w:val="20"/>
        </w:rPr>
        <w:t>A student who has missed minor(s) or the major examination due to genuine reasons like illness etc. may be permitted to write a make-up examination for the missed components. The student should make an application to the Dean (Academics) through the course instructor within ten days from the date of the examination missed, explaining the reasons for their absence. Applications received after this period need not be entertained. The permission to take a make-up examination will be given under exceptional circumstances such as admission to a hospital due to illness. A student needs to produce the necessary document subject to one of the following categories:</w:t>
      </w:r>
    </w:p>
    <w:p>
      <w:pPr>
        <w:spacing w:before="0" w:after="100" w:line="276" w:lineRule="auto"/>
      </w:pPr>
      <w:r>
        <w:rPr>
          <w:rFonts w:ascii="Calibri" w:hAnsi="Calibri"/>
          <w:sz w:val="20"/>
        </w:rPr>
        <w:t>Students residing in the Hostels should produce a Medical Certificate issued by the Medical Officer of the Institute that he/she was admitted in the Hospital during the period of the missed quiz/exam.Students residing in the Hostels and taking medical consultation with outside Doctors are required to obtain written permission from the Medical Officer of the Institute Hospital before they proceed for such consultation.Students residing in the hostels but taking medical consultation with outside Doctors are required to obtain an endorsement on the certificate of treatment by the Medical Officer of the Institute Hospital.A student staying outside the Campus permanently / temporarily must produce a medical certificate from the Registered Medical Practitioner and the same should be duly endorsed by the parent/guardian.</w:t>
      </w:r>
    </w:p>
    <w:p>
      <w:pPr>
        <w:spacing w:before="0" w:after="100" w:line="276" w:lineRule="auto"/>
      </w:pPr>
      <w:r>
        <w:rPr>
          <w:rFonts w:ascii="Calibri" w:hAnsi="Calibri"/>
          <w:sz w:val="20"/>
        </w:rPr>
        <w:t>A slot- wise make-up examination for major will be held during the makeup / supplementary week as per Academic Calendar of the subsequent semester for those who are permitted to take the make-up examination. A student who misses this make-up examination will not normally be given another make-up examination. However, in exceptional cases of prolonged illness resulting in the student missing a make-up examination, the Chairman of the Senate, in consultation with the Dean of Academics may permit the student to appear for make-up examination any day before the end of the first week of the next semester. Under no circumstances prorating can be done for the missed examinations or attendance.</w:t>
      </w:r>
    </w:p>
    <w:p>
      <w:pPr>
        <w:spacing w:before="0" w:after="100" w:line="276" w:lineRule="auto"/>
      </w:pPr>
    </w:p>
    <w:p>
      <w:pPr>
        <w:keepNext/>
        <w:spacing w:before="280" w:after="80"/>
      </w:pPr>
      <w:r>
        <w:rPr>
          <w:rFonts w:ascii="Calibri" w:hAnsi="Calibri"/>
          <w:color w:val="003366"/>
          <w:sz w:val="26"/>
        </w:rPr>
        <w:t>26.5.1 Comprehensive Examination of Ph. D. /M.Tech-Ph.D Student</w:t>
      </w:r>
    </w:p>
    <w:p>
      <w:pPr>
        <w:pStyle w:val="ListBullet"/>
        <w:spacing w:before="20" w:after="40"/>
      </w:pPr>
      <w:r>
        <w:rPr>
          <w:rFonts w:ascii="Calibri" w:hAnsi="Calibri"/>
          <w:sz w:val="20"/>
        </w:rPr>
        <w:t>The comprehensive examination must be designed to test the general capability of the student and the breadth of his/her knowledge in the discipline and areas related to the field of research.</w:t>
      </w:r>
    </w:p>
    <w:p>
      <w:pPr>
        <w:pStyle w:val="ListBullet"/>
        <w:spacing w:before="20" w:after="40"/>
      </w:pPr>
      <w:r>
        <w:rPr>
          <w:rFonts w:ascii="Calibri" w:hAnsi="Calibri"/>
          <w:sz w:val="20"/>
        </w:rPr>
        <w:t>The Comprehensive Examination shall be conducted by a Comprehensive Examination Committee of the Department/IDRP.</w:t>
      </w:r>
    </w:p>
    <w:p>
      <w:pPr>
        <w:pStyle w:val="ListBullet"/>
        <w:spacing w:before="20" w:after="40"/>
      </w:pPr>
      <w:r>
        <w:rPr>
          <w:rFonts w:ascii="Calibri" w:hAnsi="Calibri"/>
          <w:sz w:val="20"/>
        </w:rPr>
        <w:t>The Comprehensive Examination will consist of a written test with three papers.</w:t>
      </w:r>
    </w:p>
    <w:p>
      <w:pPr>
        <w:pStyle w:val="ListBullet"/>
        <w:spacing w:before="20" w:after="40"/>
      </w:pPr>
      <w:r>
        <w:rPr>
          <w:rFonts w:ascii="Calibri" w:hAnsi="Calibri"/>
          <w:sz w:val="20"/>
        </w:rPr>
        <w:t>Departments will offer at least 5 Papers for conducting a comprehensive examination. Each paper will have broad coverage of one essential sub-area of the department. The course content of these papers will be approved by the academic committee and the Senate. The syllabus of papers for the comprehensive examination will not be the same as courses offered by the department; it must be designed to test the breadth of the knowledge in that area.</w:t>
      </w:r>
    </w:p>
    <w:p>
      <w:pPr>
        <w:pStyle w:val="ListBullet"/>
        <w:spacing w:before="20" w:after="40"/>
      </w:pPr>
      <w:r>
        <w:rPr>
          <w:rFonts w:ascii="Calibri" w:hAnsi="Calibri"/>
          <w:sz w:val="20"/>
        </w:rPr>
        <w:t>The SRC will specify a set three papers as a comprehensive requirement for a particular student. These three papers may be selected from across the departments.</w:t>
      </w:r>
    </w:p>
    <w:p>
      <w:pPr>
        <w:pStyle w:val="ListBullet"/>
        <w:spacing w:before="20" w:after="40"/>
      </w:pPr>
      <w:r>
        <w:rPr>
          <w:rFonts w:ascii="Calibri" w:hAnsi="Calibri"/>
          <w:sz w:val="20"/>
        </w:rPr>
        <w:t>The comprehensive examination requirements shall be intimated to the Ph.D. student within two weeks of SRC formation.</w:t>
      </w:r>
    </w:p>
    <w:p>
      <w:pPr>
        <w:pStyle w:val="ListBullet"/>
        <w:spacing w:before="20" w:after="40"/>
      </w:pPr>
      <w:r>
        <w:rPr>
          <w:rFonts w:ascii="Calibri" w:hAnsi="Calibri"/>
          <w:sz w:val="20"/>
        </w:rPr>
        <w:t>All comprehensive examinations will be scheduled on two fixed days in a year. It can coincide with the annual progress evaluation day of doctoral candidates. Students may decide to appear for three papers on the same day or on different days.</w:t>
      </w:r>
    </w:p>
    <w:p>
      <w:pPr>
        <w:pStyle w:val="ListBullet"/>
        <w:spacing w:before="20" w:after="40"/>
      </w:pPr>
      <w:r>
        <w:rPr>
          <w:rFonts w:ascii="Calibri" w:hAnsi="Calibri"/>
          <w:sz w:val="20"/>
        </w:rPr>
        <w:t>A student can appear in the comprehensive examination before he/she has completed the course requirements and satisfied the minimum specified CGPA requirement.</w:t>
      </w:r>
    </w:p>
    <w:p>
      <w:pPr>
        <w:pStyle w:val="ListBullet"/>
        <w:spacing w:before="20" w:after="40"/>
      </w:pPr>
      <w:r>
        <w:rPr>
          <w:rFonts w:ascii="Calibri" w:hAnsi="Calibri"/>
          <w:sz w:val="20"/>
        </w:rPr>
        <w:t>If the performance of the Ph.D. student in a comprehensive examination paper in the first attempt is not satisfactory, he/she will be given one more opportunity to appear within six months of the first attempt.</w:t>
      </w:r>
    </w:p>
    <w:p>
      <w:pPr>
        <w:pStyle w:val="ListBullet"/>
        <w:spacing w:before="20" w:after="40"/>
      </w:pPr>
      <w:r>
        <w:rPr>
          <w:rFonts w:ascii="Calibri" w:hAnsi="Calibri"/>
          <w:sz w:val="20"/>
        </w:rPr>
        <w:t>For clearing of the comprehensive examination, a student must perform satisfactorily in all papers.</w:t>
      </w:r>
    </w:p>
    <w:p>
      <w:pPr>
        <w:spacing w:before="0" w:after="100" w:line="276" w:lineRule="auto"/>
      </w:pPr>
      <w:r>
        <w:rPr>
          <w:rFonts w:ascii="Calibri" w:hAnsi="Calibri"/>
          <w:sz w:val="20"/>
        </w:rPr>
        <w:t>Comprehensive Examination to be completed by the students:</w:t>
      </w:r>
    </w:p>
    <w:p>
      <w:pPr>
        <w:pStyle w:val="ListBullet"/>
        <w:spacing w:before="20" w:after="40"/>
      </w:pPr>
      <w:r>
        <w:rPr>
          <w:rFonts w:ascii="Calibri" w:hAnsi="Calibri"/>
          <w:sz w:val="20"/>
        </w:rPr>
        <w:t>Ph.D. : within 3 semesters</w:t>
      </w:r>
    </w:p>
    <w:p>
      <w:pPr>
        <w:pStyle w:val="ListBullet"/>
        <w:spacing w:before="20" w:after="40"/>
      </w:pPr>
      <w:r>
        <w:rPr>
          <w:rFonts w:ascii="Calibri" w:hAnsi="Calibri"/>
          <w:sz w:val="20"/>
        </w:rPr>
        <w:t>Direct Ph.D. and MTech – PhD Dual Degree: within 5 semesters</w:t>
      </w:r>
    </w:p>
    <w:p>
      <w:pPr>
        <w:keepNext/>
        <w:spacing w:before="280" w:after="80"/>
      </w:pPr>
      <w:r>
        <w:rPr>
          <w:rFonts w:ascii="Calibri" w:hAnsi="Calibri"/>
          <w:color w:val="003366"/>
          <w:sz w:val="26"/>
        </w:rPr>
        <w:t>13.4 Design Project Evaluation</w:t>
      </w:r>
    </w:p>
    <w:p>
      <w:pPr>
        <w:spacing w:before="0" w:after="100" w:line="276" w:lineRule="auto"/>
      </w:pPr>
      <w:r>
        <w:rPr>
          <w:rFonts w:ascii="Calibri" w:hAnsi="Calibri"/>
          <w:sz w:val="20"/>
        </w:rPr>
        <w:t>[ [Back to index] ](https://www.iitj.ac.in/office-of-academics/en/academic-regulations#top13.4%20Design%20Project%20Evaluation)</w:t>
      </w:r>
    </w:p>
    <w:p>
      <w:pPr>
        <w:spacing w:before="0" w:after="100" w:line="276" w:lineRule="auto"/>
      </w:pPr>
      <w:r>
        <w:rPr>
          <w:rFonts w:ascii="Calibri" w:hAnsi="Calibri"/>
          <w:sz w:val="20"/>
        </w:rPr>
        <w:t>At the completion of a project, the student will submit a project report which will be evaluated by duly appointed examiner(s) by DUGC.The evaluation will be based on the report and a viva-voce examination on the project and S or U grade is awarded.Evaluation policy has to be declared by the concerned department from the first day of the class.</w:t>
      </w:r>
    </w:p>
    <w:p>
      <w:pPr>
        <w:keepNext/>
        <w:spacing w:before="280" w:after="80"/>
      </w:pPr>
      <w:r>
        <w:rPr>
          <w:rFonts w:ascii="Calibri" w:hAnsi="Calibri"/>
          <w:color w:val="003366"/>
          <w:sz w:val="26"/>
        </w:rPr>
        <w:t>13.1 B.Tech. Project Evaluation</w:t>
      </w:r>
    </w:p>
    <w:p>
      <w:pPr>
        <w:spacing w:before="0" w:after="100" w:line="276" w:lineRule="auto"/>
      </w:pPr>
      <w:r>
        <w:rPr>
          <w:rFonts w:ascii="Calibri" w:hAnsi="Calibri"/>
          <w:sz w:val="20"/>
        </w:rPr>
        <w:t>[ [Back to index] ](https://www.iitj.ac.in/office-of-academics/en/academic-regulations#top13.1%20B.Tech.%20Project%20Evaluation)</w:t>
      </w:r>
    </w:p>
    <w:p>
      <w:pPr>
        <w:pStyle w:val="ListBullet"/>
        <w:spacing w:before="20" w:after="40"/>
      </w:pPr>
      <w:r>
        <w:rPr>
          <w:rFonts w:ascii="Calibri" w:hAnsi="Calibri"/>
          <w:sz w:val="20"/>
        </w:rPr>
        <w:t>DUGC will appoint a committee for B.Tech. Project evaluation. The committee will ensure that Award of letter grade would be as per relative grading policy.The evaluation will be based on the report and a viva-voce examination on the project.DUGC will form the evaluation criterion and declare it to students.</w:t>
      </w:r>
    </w:p>
    <w:p>
      <w:pPr>
        <w:pStyle w:val="ListBullet"/>
        <w:spacing w:before="20" w:after="40"/>
      </w:pPr>
      <w:r>
        <w:rPr>
          <w:rFonts w:ascii="Calibri" w:hAnsi="Calibri"/>
          <w:sz w:val="20"/>
        </w:rPr>
        <w:t>The evaluation will be based on the report and a viva-voce examination on the project</w:t>
      </w:r>
    </w:p>
    <w:p>
      <w:pPr>
        <w:pStyle w:val="ListBullet"/>
        <w:spacing w:before="20" w:after="40"/>
      </w:pPr>
      <w:r>
        <w:rPr>
          <w:rFonts w:ascii="Calibri" w:hAnsi="Calibri"/>
          <w:sz w:val="20"/>
        </w:rPr>
        <w:t>DUGC will form the evaluation criterion and declare it to students</w:t>
      </w:r>
    </w:p>
    <w:p>
      <w:pPr>
        <w:keepNext/>
        <w:spacing w:before="280" w:after="80"/>
      </w:pPr>
      <w:r>
        <w:rPr>
          <w:rFonts w:ascii="Calibri" w:hAnsi="Calibri"/>
          <w:color w:val="003366"/>
          <w:sz w:val="26"/>
        </w:rPr>
        <w:t>5.3.2 Cumulative Grade Point Average</w:t>
      </w:r>
    </w:p>
    <w:p>
      <w:pPr>
        <w:spacing w:before="0" w:after="100" w:line="276" w:lineRule="auto"/>
      </w:pPr>
      <w:r>
        <w:rPr>
          <w:rFonts w:ascii="Calibri" w:hAnsi="Calibri"/>
          <w:sz w:val="20"/>
        </w:rPr>
        <w:t>The Cumulative Grade Point Average (CGPA) indicates the overall academic performance of a student in all the courses registered up to the latest completed semester. The CGPA is computed similarly as the SGPA, considering all the courses in all semesters. The CGPA is calculated on the basis of all pass grades (A*, A, A-, B, B-, C, C-, D), except audit courses and courses in which S/X grade is awarded, obtained in all completed semesters.</w:t>
      </w:r>
    </w:p>
    <w:p>
      <w:pPr>
        <w:spacing w:before="0" w:after="100" w:line="276" w:lineRule="auto"/>
      </w:pPr>
      <w:r>
        <w:rPr>
          <w:rFonts w:ascii="Calibri" w:hAnsi="Calibri"/>
          <w:sz w:val="20"/>
        </w:rPr>
        <w:t>The SGPA and CGPA calculation is based on credits earned/completed at IIT Jodhpur alone.</w:t>
      </w:r>
    </w:p>
    <w:p>
      <w:pPr>
        <w:keepNext/>
        <w:spacing w:before="280" w:after="80"/>
      </w:pPr>
      <w:r>
        <w:rPr>
          <w:rFonts w:ascii="Calibri" w:hAnsi="Calibri"/>
          <w:color w:val="003366"/>
          <w:sz w:val="26"/>
        </w:rPr>
        <w:t>13.5 Conduct and Evaluation of B.Tech. -M. Tech Dual Degree Project</w:t>
      </w:r>
    </w:p>
    <w:p>
      <w:pPr>
        <w:spacing w:before="0" w:after="100" w:line="276" w:lineRule="auto"/>
      </w:pPr>
      <w:r>
        <w:rPr>
          <w:rFonts w:ascii="Calibri" w:hAnsi="Calibri"/>
          <w:sz w:val="20"/>
        </w:rPr>
        <w:t>[ [Back to index] ](https://www.iitj.ac.in/office-of-academics/en/academic-regulations#top13.5%20Conduct%20and%20Evaluation%20of%20B.Tech.%20-M.%20Tech%20Dual%20Degree%20Project)</w:t>
      </w:r>
    </w:p>
    <w:p>
      <w:pPr>
        <w:pStyle w:val="ListBullet"/>
        <w:spacing w:before="20" w:after="40"/>
      </w:pPr>
      <w:r>
        <w:rPr>
          <w:rFonts w:ascii="Calibri" w:hAnsi="Calibri"/>
          <w:sz w:val="20"/>
        </w:rPr>
        <w:t>Allotment of students to supervisors will be made based on the preferences of the students and supervisor(s).The supervisor and area identification must be completed by the end of the eighth semester.Coordinator, M. Tech. Program would advise until the student is assigned to a regular supervisor(s).The evaluation criterion would be same as Section 25.</w:t>
      </w:r>
    </w:p>
    <w:p>
      <w:pPr>
        <w:pStyle w:val="ListBullet"/>
        <w:spacing w:before="20" w:after="40"/>
      </w:pPr>
      <w:r>
        <w:rPr>
          <w:rFonts w:ascii="Calibri" w:hAnsi="Calibri"/>
          <w:sz w:val="20"/>
        </w:rPr>
        <w:t>The supervisor and area identification must be completed by the end of the eighth semester</w:t>
      </w:r>
    </w:p>
    <w:p>
      <w:pPr>
        <w:pStyle w:val="ListBullet"/>
        <w:spacing w:before="20" w:after="40"/>
      </w:pPr>
      <w:r>
        <w:rPr>
          <w:rFonts w:ascii="Calibri" w:hAnsi="Calibri"/>
          <w:sz w:val="20"/>
        </w:rPr>
        <w:t>Coordinator, M. Tech. Program would advise until the student is assigned to a regular supervisor(s).</w:t>
      </w:r>
    </w:p>
    <w:p>
      <w:pPr>
        <w:pStyle w:val="ListBullet"/>
        <w:spacing w:before="20" w:after="40"/>
      </w:pPr>
      <w:r>
        <w:rPr>
          <w:rFonts w:ascii="Calibri" w:hAnsi="Calibri"/>
          <w:sz w:val="20"/>
        </w:rPr>
        <w:t>The evaluation criterion would be the same as Section 25.</w:t>
      </w:r>
    </w:p>
    <w:p>
      <w:pPr>
        <w:keepNext/>
        <w:spacing w:before="280" w:after="80"/>
      </w:pPr>
      <w:r>
        <w:rPr>
          <w:rFonts w:ascii="Calibri" w:hAnsi="Calibri"/>
          <w:color w:val="003366"/>
          <w:sz w:val="26"/>
        </w:rPr>
        <w:t>4.2 Evaluation</w:t>
      </w:r>
    </w:p>
    <w:p>
      <w:pPr>
        <w:spacing w:before="0" w:after="100" w:line="276" w:lineRule="auto"/>
      </w:pPr>
      <w:r>
        <w:rPr>
          <w:rFonts w:ascii="Calibri" w:hAnsi="Calibri"/>
          <w:sz w:val="20"/>
        </w:rPr>
        <w:t>[ [Back to index] ](https://www.iitj.ac.in/office-of-academics/en/academic-regulations#top4.2%20Evaluation)</w:t>
      </w:r>
    </w:p>
    <w:p>
      <w:pPr>
        <w:spacing w:before="0" w:after="100" w:line="276" w:lineRule="auto"/>
      </w:pPr>
      <w:r>
        <w:rPr>
          <w:rFonts w:ascii="Calibri" w:hAnsi="Calibri"/>
          <w:sz w:val="20"/>
        </w:rPr>
        <w:t>The performance of students in a course is evaluated continuously, using their interaction in the classroom, and performances in examinations, the laboratory work (if any), and term-papers and projects.</w:t>
      </w:r>
    </w:p>
    <w:p>
      <w:pPr>
        <w:spacing w:before="0" w:after="100" w:line="276" w:lineRule="auto"/>
      </w:pPr>
      <w:r>
        <w:rPr>
          <w:rFonts w:ascii="Calibri" w:hAnsi="Calibri"/>
          <w:sz w:val="20"/>
        </w:rPr>
        <w:t>The performance of students in a course is evaluated through examinations and on a continuous basis. The Senate will decide from time to time on the system of tests and examinations in each subject in each semester.Minor 1, Minor 2 and Major examinations are mandatory components of the evaluation of a regular 14-week long lecture course. The minor examinations shall be of 60 minutes duration and the major examination of 120 minutes. Fractal courses (less than 3 credits) must have at least one examination.The total weightage of examination component (three examinations for a 14 week long course) shall be between 40% to 60% of the total weightage of evaluation measure.Evaluation policy has to be known from the first day of the class.The continuous evaluation may include but not limited to interaction in the classroom, quizzes, assignments, tutorials, laboratory work, term papers and projects.</w:t>
      </w:r>
    </w:p>
    <w:p>
      <w:pPr>
        <w:keepNext/>
        <w:spacing w:before="280" w:after="80"/>
      </w:pPr>
      <w:r>
        <w:rPr>
          <w:rFonts w:ascii="Calibri" w:hAnsi="Calibri"/>
          <w:color w:val="003366"/>
          <w:sz w:val="26"/>
        </w:rPr>
        <w:t>5.1 Letter Grades</w:t>
      </w:r>
    </w:p>
    <w:p>
      <w:pPr>
        <w:spacing w:before="0" w:after="100" w:line="276" w:lineRule="auto"/>
      </w:pPr>
      <w:r>
        <w:rPr>
          <w:rFonts w:ascii="Calibri" w:hAnsi="Calibri"/>
          <w:sz w:val="20"/>
        </w:rPr>
        <w:t>At the end of the semester, a student is awarded a relative letter grade in each course by the Instructor offering the course considering the performance of the student during the semester with respect to those of the other students registered in the course. It is proposed that ten regular letter grades, namely A*, A, A-, B, B-, C, C-, D, E and F shall be awarded in each course. Each letter grade is associated with a numerical equivalent on a 10-point scale shown in Table 5.1. In addition, there are four special letter grades, namely, I, S, X and U, which stand for Incomplete, Satisfactory, Thesis Continuation and Unsatisfactory, respectively. The faculty member shall upload grade on the portal as per the stipulated time schedule.</w:t>
      </w:r>
    </w:p>
    <w:p>
      <w:pPr>
        <w:spacing w:before="0" w:after="100" w:line="276" w:lineRule="auto"/>
      </w:pPr>
      <w:r>
        <w:rPr>
          <w:rFonts w:ascii="Calibri" w:hAnsi="Calibri"/>
          <w:sz w:val="20"/>
        </w:rPr>
        <w:t>Table 5.1 Letter grade and its equivalent grade points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03366"/>
          </w:tcPr>
          <w:p>
            <w:pPr>
              <w:spacing w:before="60" w:after="60"/>
            </w:pPr>
            <w:r>
              <w:rPr>
                <w:rFonts w:ascii="Calibri" w:hAnsi="Calibri"/>
                <w:color w:val="FFFFFF"/>
                <w:sz w:val="19"/>
              </w:rPr>
              <w:t>S.N.</w:t>
            </w:r>
          </w:p>
        </w:tc>
        <w:tc>
          <w:tcPr>
            <w:tcW w:type="dxa" w:w="2340"/>
            <w:shd w:fill="003366"/>
          </w:tcPr>
          <w:p>
            <w:pPr>
              <w:spacing w:before="60" w:after="60"/>
            </w:pPr>
            <w:r>
              <w:rPr>
                <w:rFonts w:ascii="Calibri" w:hAnsi="Calibri"/>
                <w:color w:val="FFFFFF"/>
                <w:sz w:val="19"/>
              </w:rPr>
              <w:t>Letter Grade</w:t>
            </w:r>
          </w:p>
        </w:tc>
        <w:tc>
          <w:tcPr>
            <w:tcW w:type="dxa" w:w="2340"/>
            <w:shd w:fill="003366"/>
          </w:tcPr>
          <w:p>
            <w:pPr>
              <w:spacing w:before="60" w:after="60"/>
            </w:pPr>
            <w:r>
              <w:rPr>
                <w:rFonts w:ascii="Calibri" w:hAnsi="Calibri"/>
                <w:color w:val="FFFFFF"/>
                <w:sz w:val="19"/>
              </w:rPr>
              <w:t>Grade Points</w:t>
            </w:r>
          </w:p>
        </w:tc>
        <w:tc>
          <w:tcPr>
            <w:tcW w:type="dxa" w:w="2340"/>
            <w:shd w:fill="003366"/>
          </w:tcPr>
          <w:p>
            <w:pPr>
              <w:spacing w:before="60" w:after="60"/>
            </w:pPr>
            <w:r>
              <w:rPr>
                <w:rFonts w:ascii="Calibri" w:hAnsi="Calibri"/>
                <w:color w:val="FFFFFF"/>
                <w:sz w:val="19"/>
              </w:rPr>
              <w:t>Comment</w:t>
            </w:r>
          </w:p>
        </w:tc>
      </w:tr>
      <w:tr>
        <w:tc>
          <w:tcPr>
            <w:tcW w:type="dxa" w:w="2340"/>
            <w:shd w:fill="F5F8FA"/>
          </w:tcPr>
          <w:p>
            <w:pPr>
              <w:spacing w:before="60" w:after="60"/>
            </w:pPr>
            <w:r>
              <w:rPr>
                <w:rFonts w:ascii="Calibri" w:hAnsi="Calibri"/>
                <w:sz w:val="19"/>
              </w:rPr>
              <w:t>1</w:t>
            </w:r>
          </w:p>
        </w:tc>
        <w:tc>
          <w:tcPr>
            <w:tcW w:type="dxa" w:w="2340"/>
            <w:shd w:fill="F5F8FA"/>
          </w:tcPr>
          <w:p>
            <w:pPr>
              <w:spacing w:before="60" w:after="60"/>
            </w:pPr>
            <w:r>
              <w:rPr>
                <w:rFonts w:ascii="Calibri" w:hAnsi="Calibri"/>
                <w:sz w:val="19"/>
              </w:rPr>
              <w:t>A*</w:t>
            </w:r>
          </w:p>
        </w:tc>
        <w:tc>
          <w:tcPr>
            <w:tcW w:type="dxa" w:w="2340"/>
            <w:shd w:fill="F5F8FA"/>
          </w:tcPr>
          <w:p>
            <w:pPr>
              <w:spacing w:before="60" w:after="60"/>
            </w:pPr>
            <w:r>
              <w:rPr>
                <w:rFonts w:ascii="Calibri" w:hAnsi="Calibri"/>
                <w:sz w:val="19"/>
              </w:rPr>
              <w:t>10</w:t>
            </w:r>
          </w:p>
        </w:tc>
        <w:tc>
          <w:tcPr>
            <w:tcW w:type="dxa" w:w="2340"/>
            <w:shd w:fill="F5F8FA"/>
          </w:tcPr>
          <w:p>
            <w:pPr>
              <w:spacing w:before="60" w:after="60"/>
            </w:pPr>
            <w:r>
              <w:rPr>
                <w:rFonts w:ascii="Calibri" w:hAnsi="Calibri"/>
                <w:sz w:val="19"/>
              </w:rPr>
              <w:t>Exceptional</w:t>
            </w:r>
          </w:p>
        </w:tc>
      </w:tr>
      <w:tr>
        <w:tc>
          <w:tcPr>
            <w:tcW w:type="dxa" w:w="2340"/>
          </w:tcPr>
          <w:p>
            <w:pPr>
              <w:spacing w:before="60" w:after="60"/>
            </w:pPr>
            <w:r>
              <w:rPr>
                <w:rFonts w:ascii="Calibri" w:hAnsi="Calibri"/>
                <w:sz w:val="19"/>
              </w:rPr>
              <w:t>2</w:t>
            </w:r>
          </w:p>
        </w:tc>
        <w:tc>
          <w:tcPr>
            <w:tcW w:type="dxa" w:w="2340"/>
          </w:tcPr>
          <w:p>
            <w:pPr>
              <w:spacing w:before="60" w:after="60"/>
            </w:pPr>
            <w:r>
              <w:rPr>
                <w:rFonts w:ascii="Calibri" w:hAnsi="Calibri"/>
                <w:sz w:val="19"/>
              </w:rPr>
              <w:t>A</w:t>
            </w:r>
          </w:p>
        </w:tc>
        <w:tc>
          <w:tcPr>
            <w:tcW w:type="dxa" w:w="2340"/>
          </w:tcPr>
          <w:p>
            <w:pPr>
              <w:spacing w:before="60" w:after="60"/>
            </w:pPr>
            <w:r>
              <w:rPr>
                <w:rFonts w:ascii="Calibri" w:hAnsi="Calibri"/>
                <w:sz w:val="19"/>
              </w:rPr>
              <w:t>10</w:t>
            </w:r>
          </w:p>
        </w:tc>
        <w:tc>
          <w:tcPr>
            <w:tcW w:type="dxa" w:w="2340"/>
          </w:tcPr>
          <w:p>
            <w:pPr>
              <w:spacing w:before="60" w:after="60"/>
            </w:pPr>
            <w:r>
              <w:rPr>
                <w:rFonts w:ascii="Calibri" w:hAnsi="Calibri"/>
                <w:sz w:val="19"/>
              </w:rPr>
              <w:t>Outstanding</w:t>
            </w:r>
          </w:p>
        </w:tc>
      </w:tr>
      <w:tr>
        <w:tc>
          <w:tcPr>
            <w:tcW w:type="dxa" w:w="2340"/>
            <w:shd w:fill="F5F8FA"/>
          </w:tcPr>
          <w:p>
            <w:pPr>
              <w:spacing w:before="60" w:after="60"/>
            </w:pPr>
            <w:r>
              <w:rPr>
                <w:rFonts w:ascii="Calibri" w:hAnsi="Calibri"/>
                <w:sz w:val="19"/>
              </w:rPr>
              <w:t>3</w:t>
            </w:r>
          </w:p>
        </w:tc>
        <w:tc>
          <w:tcPr>
            <w:tcW w:type="dxa" w:w="2340"/>
            <w:shd w:fill="F5F8FA"/>
          </w:tcPr>
          <w:p>
            <w:pPr>
              <w:spacing w:before="60" w:after="60"/>
            </w:pPr>
            <w:r>
              <w:rPr>
                <w:rFonts w:ascii="Calibri" w:hAnsi="Calibri"/>
                <w:sz w:val="19"/>
              </w:rPr>
              <w:t>A-</w:t>
            </w:r>
          </w:p>
        </w:tc>
        <w:tc>
          <w:tcPr>
            <w:tcW w:type="dxa" w:w="2340"/>
            <w:shd w:fill="F5F8FA"/>
          </w:tcPr>
          <w:p>
            <w:pPr>
              <w:spacing w:before="60" w:after="60"/>
            </w:pPr>
            <w:r>
              <w:rPr>
                <w:rFonts w:ascii="Calibri" w:hAnsi="Calibri"/>
                <w:sz w:val="19"/>
              </w:rPr>
              <w:t>9</w:t>
            </w:r>
          </w:p>
        </w:tc>
        <w:tc>
          <w:tcPr>
            <w:tcW w:type="dxa" w:w="2340"/>
            <w:shd w:fill="F5F8FA"/>
          </w:tcPr>
          <w:p>
            <w:pPr>
              <w:spacing w:before="60" w:after="60"/>
            </w:pPr>
            <w:r>
              <w:rPr>
                <w:rFonts w:ascii="Calibri" w:hAnsi="Calibri"/>
                <w:sz w:val="19"/>
              </w:rPr>
              <w:t>Excellent</w:t>
            </w:r>
          </w:p>
        </w:tc>
      </w:tr>
      <w:tr>
        <w:tc>
          <w:tcPr>
            <w:tcW w:type="dxa" w:w="2340"/>
          </w:tcPr>
          <w:p>
            <w:pPr>
              <w:spacing w:before="60" w:after="60"/>
            </w:pPr>
            <w:r>
              <w:rPr>
                <w:rFonts w:ascii="Calibri" w:hAnsi="Calibri"/>
                <w:sz w:val="19"/>
              </w:rPr>
              <w:t>4</w:t>
            </w:r>
          </w:p>
        </w:tc>
        <w:tc>
          <w:tcPr>
            <w:tcW w:type="dxa" w:w="2340"/>
          </w:tcPr>
          <w:p>
            <w:pPr>
              <w:spacing w:before="60" w:after="60"/>
            </w:pPr>
            <w:r>
              <w:rPr>
                <w:rFonts w:ascii="Calibri" w:hAnsi="Calibri"/>
                <w:sz w:val="19"/>
              </w:rPr>
              <w:t>B</w:t>
            </w:r>
          </w:p>
        </w:tc>
        <w:tc>
          <w:tcPr>
            <w:tcW w:type="dxa" w:w="2340"/>
          </w:tcPr>
          <w:p>
            <w:pPr>
              <w:spacing w:before="60" w:after="60"/>
            </w:pPr>
            <w:r>
              <w:rPr>
                <w:rFonts w:ascii="Calibri" w:hAnsi="Calibri"/>
                <w:sz w:val="19"/>
              </w:rPr>
              <w:t>8</w:t>
            </w:r>
          </w:p>
        </w:tc>
        <w:tc>
          <w:tcPr>
            <w:tcW w:type="dxa" w:w="2340"/>
          </w:tcPr>
          <w:p>
            <w:pPr>
              <w:spacing w:before="60" w:after="60"/>
            </w:pPr>
            <w:r>
              <w:rPr>
                <w:rFonts w:ascii="Calibri" w:hAnsi="Calibri"/>
                <w:sz w:val="19"/>
              </w:rPr>
              <w:t>Very Good</w:t>
            </w:r>
          </w:p>
        </w:tc>
      </w:tr>
      <w:tr>
        <w:tc>
          <w:tcPr>
            <w:tcW w:type="dxa" w:w="2340"/>
            <w:shd w:fill="F5F8FA"/>
          </w:tcPr>
          <w:p>
            <w:pPr>
              <w:spacing w:before="60" w:after="60"/>
            </w:pPr>
            <w:r>
              <w:rPr>
                <w:rFonts w:ascii="Calibri" w:hAnsi="Calibri"/>
                <w:sz w:val="19"/>
              </w:rPr>
              <w:t>5</w:t>
            </w:r>
          </w:p>
        </w:tc>
        <w:tc>
          <w:tcPr>
            <w:tcW w:type="dxa" w:w="2340"/>
            <w:shd w:fill="F5F8FA"/>
          </w:tcPr>
          <w:p>
            <w:pPr>
              <w:spacing w:before="60" w:after="60"/>
            </w:pPr>
            <w:r>
              <w:rPr>
                <w:rFonts w:ascii="Calibri" w:hAnsi="Calibri"/>
                <w:sz w:val="19"/>
              </w:rPr>
              <w:t>B-</w:t>
            </w:r>
          </w:p>
        </w:tc>
        <w:tc>
          <w:tcPr>
            <w:tcW w:type="dxa" w:w="2340"/>
            <w:shd w:fill="F5F8FA"/>
          </w:tcPr>
          <w:p>
            <w:pPr>
              <w:spacing w:before="60" w:after="60"/>
            </w:pPr>
            <w:r>
              <w:rPr>
                <w:rFonts w:ascii="Calibri" w:hAnsi="Calibri"/>
                <w:sz w:val="19"/>
              </w:rPr>
              <w:t>7</w:t>
            </w:r>
          </w:p>
        </w:tc>
        <w:tc>
          <w:tcPr>
            <w:tcW w:type="dxa" w:w="2340"/>
            <w:shd w:fill="F5F8FA"/>
          </w:tcPr>
          <w:p>
            <w:pPr>
              <w:spacing w:before="60" w:after="60"/>
            </w:pPr>
            <w:r>
              <w:rPr>
                <w:rFonts w:ascii="Calibri" w:hAnsi="Calibri"/>
                <w:sz w:val="19"/>
              </w:rPr>
              <w:t>Good</w:t>
            </w:r>
          </w:p>
        </w:tc>
      </w:tr>
      <w:tr>
        <w:tc>
          <w:tcPr>
            <w:tcW w:type="dxa" w:w="2340"/>
          </w:tcPr>
          <w:p>
            <w:pPr>
              <w:spacing w:before="60" w:after="60"/>
            </w:pPr>
            <w:r>
              <w:rPr>
                <w:rFonts w:ascii="Calibri" w:hAnsi="Calibri"/>
                <w:sz w:val="19"/>
              </w:rPr>
              <w:t>6</w:t>
            </w:r>
          </w:p>
        </w:tc>
        <w:tc>
          <w:tcPr>
            <w:tcW w:type="dxa" w:w="2340"/>
          </w:tcPr>
          <w:p>
            <w:pPr>
              <w:spacing w:before="60" w:after="60"/>
            </w:pPr>
            <w:r>
              <w:rPr>
                <w:rFonts w:ascii="Calibri" w:hAnsi="Calibri"/>
                <w:sz w:val="19"/>
              </w:rPr>
              <w:t>C</w:t>
            </w:r>
          </w:p>
        </w:tc>
        <w:tc>
          <w:tcPr>
            <w:tcW w:type="dxa" w:w="2340"/>
          </w:tcPr>
          <w:p>
            <w:pPr>
              <w:spacing w:before="60" w:after="60"/>
            </w:pPr>
            <w:r>
              <w:rPr>
                <w:rFonts w:ascii="Calibri" w:hAnsi="Calibri"/>
                <w:sz w:val="19"/>
              </w:rPr>
              <w:t>6</w:t>
            </w:r>
          </w:p>
        </w:tc>
        <w:tc>
          <w:tcPr>
            <w:tcW w:type="dxa" w:w="2340"/>
          </w:tcPr>
          <w:p>
            <w:pPr>
              <w:spacing w:before="60" w:after="60"/>
            </w:pPr>
            <w:r>
              <w:rPr>
                <w:rFonts w:ascii="Calibri" w:hAnsi="Calibri"/>
                <w:sz w:val="19"/>
              </w:rPr>
              <w:t>Average</w:t>
            </w:r>
          </w:p>
        </w:tc>
      </w:tr>
      <w:tr>
        <w:tc>
          <w:tcPr>
            <w:tcW w:type="dxa" w:w="2340"/>
            <w:shd w:fill="F5F8FA"/>
          </w:tcPr>
          <w:p>
            <w:pPr>
              <w:spacing w:before="60" w:after="60"/>
            </w:pPr>
            <w:r>
              <w:rPr>
                <w:rFonts w:ascii="Calibri" w:hAnsi="Calibri"/>
                <w:sz w:val="19"/>
              </w:rPr>
              <w:t>7</w:t>
            </w:r>
          </w:p>
        </w:tc>
        <w:tc>
          <w:tcPr>
            <w:tcW w:type="dxa" w:w="2340"/>
            <w:shd w:fill="F5F8FA"/>
          </w:tcPr>
          <w:p>
            <w:pPr>
              <w:spacing w:before="60" w:after="60"/>
            </w:pPr>
            <w:r>
              <w:rPr>
                <w:rFonts w:ascii="Calibri" w:hAnsi="Calibri"/>
                <w:sz w:val="19"/>
              </w:rPr>
              <w:t>C-</w:t>
            </w:r>
          </w:p>
        </w:tc>
        <w:tc>
          <w:tcPr>
            <w:tcW w:type="dxa" w:w="2340"/>
            <w:shd w:fill="F5F8FA"/>
          </w:tcPr>
          <w:p>
            <w:pPr>
              <w:spacing w:before="60" w:after="60"/>
            </w:pPr>
            <w:r>
              <w:rPr>
                <w:rFonts w:ascii="Calibri" w:hAnsi="Calibri"/>
                <w:sz w:val="19"/>
              </w:rPr>
              <w:t>5</w:t>
            </w:r>
          </w:p>
        </w:tc>
        <w:tc>
          <w:tcPr>
            <w:tcW w:type="dxa" w:w="2340"/>
            <w:shd w:fill="F5F8FA"/>
          </w:tcPr>
          <w:p>
            <w:pPr>
              <w:spacing w:before="60" w:after="60"/>
            </w:pPr>
            <w:r>
              <w:rPr>
                <w:rFonts w:ascii="Calibri" w:hAnsi="Calibri"/>
                <w:sz w:val="19"/>
              </w:rPr>
              <w:t>Below Average</w:t>
            </w:r>
          </w:p>
        </w:tc>
      </w:tr>
      <w:tr>
        <w:tc>
          <w:tcPr>
            <w:tcW w:type="dxa" w:w="2340"/>
          </w:tcPr>
          <w:p>
            <w:pPr>
              <w:spacing w:before="60" w:after="60"/>
            </w:pPr>
            <w:r>
              <w:rPr>
                <w:rFonts w:ascii="Calibri" w:hAnsi="Calibri"/>
                <w:sz w:val="19"/>
              </w:rPr>
              <w:t>8</w:t>
            </w:r>
          </w:p>
        </w:tc>
        <w:tc>
          <w:tcPr>
            <w:tcW w:type="dxa" w:w="2340"/>
          </w:tcPr>
          <w:p>
            <w:pPr>
              <w:spacing w:before="60" w:after="60"/>
            </w:pPr>
            <w:r>
              <w:rPr>
                <w:rFonts w:ascii="Calibri" w:hAnsi="Calibri"/>
                <w:sz w:val="19"/>
              </w:rPr>
              <w:t>D</w:t>
            </w:r>
          </w:p>
        </w:tc>
        <w:tc>
          <w:tcPr>
            <w:tcW w:type="dxa" w:w="2340"/>
          </w:tcPr>
          <w:p>
            <w:pPr>
              <w:spacing w:before="60" w:after="60"/>
            </w:pPr>
            <w:r>
              <w:rPr>
                <w:rFonts w:ascii="Calibri" w:hAnsi="Calibri"/>
                <w:sz w:val="19"/>
              </w:rPr>
              <w:t>4</w:t>
            </w:r>
          </w:p>
        </w:tc>
        <w:tc>
          <w:tcPr>
            <w:tcW w:type="dxa" w:w="2340"/>
          </w:tcPr>
          <w:p>
            <w:pPr>
              <w:spacing w:before="60" w:after="60"/>
            </w:pPr>
            <w:r>
              <w:rPr>
                <w:rFonts w:ascii="Calibri" w:hAnsi="Calibri"/>
                <w:sz w:val="19"/>
              </w:rPr>
              <w:t>Marginal</w:t>
            </w:r>
          </w:p>
        </w:tc>
      </w:tr>
      <w:tr>
        <w:tc>
          <w:tcPr>
            <w:tcW w:type="dxa" w:w="2340"/>
            <w:shd w:fill="F5F8FA"/>
          </w:tcPr>
          <w:p>
            <w:pPr>
              <w:spacing w:before="60" w:after="60"/>
            </w:pPr>
            <w:r>
              <w:rPr>
                <w:rFonts w:ascii="Calibri" w:hAnsi="Calibri"/>
                <w:sz w:val="19"/>
              </w:rPr>
              <w:t>9</w:t>
            </w:r>
          </w:p>
        </w:tc>
        <w:tc>
          <w:tcPr>
            <w:tcW w:type="dxa" w:w="2340"/>
            <w:shd w:fill="F5F8FA"/>
          </w:tcPr>
          <w:p>
            <w:pPr>
              <w:spacing w:before="60" w:after="60"/>
            </w:pPr>
            <w:r>
              <w:rPr>
                <w:rFonts w:ascii="Calibri" w:hAnsi="Calibri"/>
                <w:sz w:val="19"/>
              </w:rPr>
              <w:t>E</w:t>
            </w:r>
          </w:p>
        </w:tc>
        <w:tc>
          <w:tcPr>
            <w:tcW w:type="dxa" w:w="2340"/>
            <w:shd w:fill="F5F8FA"/>
          </w:tcPr>
          <w:p>
            <w:pPr>
              <w:spacing w:before="60" w:after="60"/>
            </w:pPr>
            <w:r>
              <w:rPr>
                <w:rFonts w:ascii="Calibri" w:hAnsi="Calibri"/>
                <w:sz w:val="19"/>
              </w:rPr>
              <w:t>2</w:t>
            </w:r>
          </w:p>
        </w:tc>
        <w:tc>
          <w:tcPr>
            <w:tcW w:type="dxa" w:w="2340"/>
            <w:shd w:fill="F5F8FA"/>
          </w:tcPr>
          <w:p>
            <w:pPr>
              <w:spacing w:before="60" w:after="60"/>
            </w:pPr>
            <w:r>
              <w:rPr>
                <w:rFonts w:ascii="Calibri" w:hAnsi="Calibri"/>
                <w:sz w:val="19"/>
              </w:rPr>
              <w:t>Poor</w:t>
            </w:r>
          </w:p>
        </w:tc>
      </w:tr>
      <w:tr>
        <w:tc>
          <w:tcPr>
            <w:tcW w:type="dxa" w:w="2340"/>
          </w:tcPr>
          <w:p>
            <w:pPr>
              <w:spacing w:before="60" w:after="60"/>
            </w:pPr>
            <w:r>
              <w:rPr>
                <w:rFonts w:ascii="Calibri" w:hAnsi="Calibri"/>
                <w:sz w:val="19"/>
              </w:rPr>
              <w:t>10</w:t>
            </w:r>
          </w:p>
        </w:tc>
        <w:tc>
          <w:tcPr>
            <w:tcW w:type="dxa" w:w="2340"/>
          </w:tcPr>
          <w:p>
            <w:pPr>
              <w:spacing w:before="60" w:after="60"/>
            </w:pPr>
            <w:r>
              <w:rPr>
                <w:rFonts w:ascii="Calibri" w:hAnsi="Calibri"/>
                <w:sz w:val="19"/>
              </w:rPr>
              <w:t>F</w:t>
            </w:r>
          </w:p>
        </w:tc>
        <w:tc>
          <w:tcPr>
            <w:tcW w:type="dxa" w:w="2340"/>
          </w:tcPr>
          <w:p>
            <w:pPr>
              <w:spacing w:before="60" w:after="60"/>
            </w:pPr>
            <w:r>
              <w:rPr>
                <w:rFonts w:ascii="Calibri" w:hAnsi="Calibri"/>
                <w:sz w:val="19"/>
              </w:rPr>
              <w:t>0</w:t>
            </w:r>
          </w:p>
        </w:tc>
        <w:tc>
          <w:tcPr>
            <w:tcW w:type="dxa" w:w="2340"/>
          </w:tcPr>
          <w:p>
            <w:pPr>
              <w:spacing w:before="60" w:after="60"/>
            </w:pPr>
            <w:r>
              <w:rPr>
                <w:rFonts w:ascii="Calibri" w:hAnsi="Calibri"/>
                <w:sz w:val="19"/>
              </w:rPr>
              <w:t>Fail</w:t>
            </w:r>
          </w:p>
        </w:tc>
      </w:tr>
      <w:tr>
        <w:tc>
          <w:tcPr>
            <w:tcW w:type="dxa" w:w="2340"/>
            <w:shd w:fill="F5F8FA"/>
          </w:tcPr>
          <w:p>
            <w:pPr>
              <w:spacing w:before="60" w:after="60"/>
            </w:pPr>
            <w:r>
              <w:rPr>
                <w:rFonts w:ascii="Calibri" w:hAnsi="Calibri"/>
                <w:sz w:val="19"/>
              </w:rPr>
              <w:t>11</w:t>
            </w:r>
          </w:p>
        </w:tc>
        <w:tc>
          <w:tcPr>
            <w:tcW w:type="dxa" w:w="2340"/>
            <w:shd w:fill="F5F8FA"/>
          </w:tcPr>
          <w:p>
            <w:pPr>
              <w:spacing w:before="60" w:after="60"/>
            </w:pPr>
            <w:r>
              <w:rPr>
                <w:rFonts w:ascii="Calibri" w:hAnsi="Calibri"/>
                <w:sz w:val="19"/>
              </w:rPr>
              <w:t>I</w:t>
            </w:r>
          </w:p>
        </w:tc>
        <w:tc>
          <w:tcPr>
            <w:tcW w:type="dxa" w:w="2340"/>
            <w:shd w:fill="F5F8FA"/>
          </w:tcPr>
          <w:p>
            <w:pPr>
              <w:spacing w:before="60" w:after="60"/>
            </w:pPr>
            <w:r>
              <w:rPr>
                <w:rFonts w:ascii="Calibri" w:hAnsi="Calibri"/>
                <w:sz w:val="19"/>
              </w:rPr>
              <w:t>Incomplete</w:t>
            </w:r>
          </w:p>
        </w:tc>
        <w:tc>
          <w:tcPr>
            <w:tcW w:type="dxa" w:w="2340"/>
            <w:shd w:fill="F5F8FA"/>
          </w:tcPr>
          <w:p>
            <w:pPr>
              <w:spacing w:before="60" w:after="60"/>
            </w:pPr>
          </w:p>
        </w:tc>
      </w:tr>
      <w:tr>
        <w:tc>
          <w:tcPr>
            <w:tcW w:type="dxa" w:w="2340"/>
          </w:tcPr>
          <w:p>
            <w:pPr>
              <w:spacing w:before="60" w:after="60"/>
            </w:pPr>
            <w:r>
              <w:rPr>
                <w:rFonts w:ascii="Calibri" w:hAnsi="Calibri"/>
                <w:sz w:val="19"/>
              </w:rPr>
              <w:t>12</w:t>
            </w:r>
          </w:p>
        </w:tc>
        <w:tc>
          <w:tcPr>
            <w:tcW w:type="dxa" w:w="2340"/>
          </w:tcPr>
          <w:p>
            <w:pPr>
              <w:spacing w:before="60" w:after="60"/>
            </w:pPr>
            <w:r>
              <w:rPr>
                <w:rFonts w:ascii="Calibri" w:hAnsi="Calibri"/>
                <w:sz w:val="19"/>
              </w:rPr>
              <w:t>S</w:t>
            </w:r>
          </w:p>
        </w:tc>
        <w:tc>
          <w:tcPr>
            <w:tcW w:type="dxa" w:w="2340"/>
          </w:tcPr>
          <w:p>
            <w:pPr>
              <w:spacing w:before="60" w:after="60"/>
            </w:pPr>
            <w:r>
              <w:rPr>
                <w:rFonts w:ascii="Calibri" w:hAnsi="Calibri"/>
                <w:sz w:val="19"/>
              </w:rPr>
              <w:t>Satisfactory in Course</w:t>
            </w:r>
          </w:p>
        </w:tc>
        <w:tc>
          <w:tcPr>
            <w:tcW w:type="dxa" w:w="2340"/>
          </w:tcPr>
          <w:p>
            <w:pPr>
              <w:spacing w:before="60" w:after="60"/>
            </w:pPr>
          </w:p>
        </w:tc>
      </w:tr>
      <w:tr>
        <w:tc>
          <w:tcPr>
            <w:tcW w:type="dxa" w:w="2340"/>
            <w:shd w:fill="F5F8FA"/>
          </w:tcPr>
          <w:p>
            <w:pPr>
              <w:spacing w:before="60" w:after="60"/>
            </w:pPr>
            <w:r>
              <w:rPr>
                <w:rFonts w:ascii="Calibri" w:hAnsi="Calibri"/>
                <w:sz w:val="19"/>
              </w:rPr>
              <w:t>13</w:t>
            </w:r>
          </w:p>
        </w:tc>
        <w:tc>
          <w:tcPr>
            <w:tcW w:type="dxa" w:w="2340"/>
            <w:shd w:fill="F5F8FA"/>
          </w:tcPr>
          <w:p>
            <w:pPr>
              <w:spacing w:before="60" w:after="60"/>
            </w:pPr>
            <w:r>
              <w:rPr>
                <w:rFonts w:ascii="Calibri" w:hAnsi="Calibri"/>
                <w:sz w:val="19"/>
              </w:rPr>
              <w:t>X</w:t>
            </w:r>
          </w:p>
        </w:tc>
        <w:tc>
          <w:tcPr>
            <w:tcW w:type="dxa" w:w="2340"/>
            <w:shd w:fill="F5F8FA"/>
          </w:tcPr>
          <w:p>
            <w:pPr>
              <w:spacing w:before="60" w:after="60"/>
            </w:pPr>
            <w:r>
              <w:rPr>
                <w:rFonts w:ascii="Calibri" w:hAnsi="Calibri"/>
                <w:sz w:val="19"/>
              </w:rPr>
              <w:t>Thesis Continuation</w:t>
            </w:r>
          </w:p>
        </w:tc>
        <w:tc>
          <w:tcPr>
            <w:tcW w:type="dxa" w:w="2340"/>
            <w:shd w:fill="F5F8FA"/>
          </w:tcPr>
          <w:p>
            <w:pPr>
              <w:spacing w:before="60" w:after="60"/>
            </w:pPr>
          </w:p>
        </w:tc>
      </w:tr>
      <w:tr>
        <w:tc>
          <w:tcPr>
            <w:tcW w:type="dxa" w:w="2340"/>
          </w:tcPr>
          <w:p>
            <w:pPr>
              <w:spacing w:before="60" w:after="60"/>
            </w:pPr>
            <w:r>
              <w:rPr>
                <w:rFonts w:ascii="Calibri" w:hAnsi="Calibri"/>
                <w:sz w:val="19"/>
              </w:rPr>
              <w:t>14</w:t>
            </w:r>
          </w:p>
        </w:tc>
        <w:tc>
          <w:tcPr>
            <w:tcW w:type="dxa" w:w="2340"/>
          </w:tcPr>
          <w:p>
            <w:pPr>
              <w:spacing w:before="60" w:after="60"/>
            </w:pPr>
            <w:r>
              <w:rPr>
                <w:rFonts w:ascii="Calibri" w:hAnsi="Calibri"/>
                <w:sz w:val="19"/>
              </w:rPr>
              <w:t>U</w:t>
            </w:r>
          </w:p>
        </w:tc>
        <w:tc>
          <w:tcPr>
            <w:tcW w:type="dxa" w:w="2340"/>
          </w:tcPr>
          <w:p>
            <w:pPr>
              <w:spacing w:before="60" w:after="60"/>
            </w:pPr>
            <w:r>
              <w:rPr>
                <w:rFonts w:ascii="Calibri" w:hAnsi="Calibri"/>
                <w:sz w:val="19"/>
              </w:rPr>
              <w:t>Unsatisfactory</w:t>
            </w:r>
          </w:p>
        </w:tc>
        <w:tc>
          <w:tcPr>
            <w:tcW w:type="dxa" w:w="2340"/>
          </w:tcPr>
          <w:p>
            <w:pPr>
              <w:spacing w:before="60" w:after="60"/>
            </w:pPr>
          </w:p>
        </w:tc>
      </w:tr>
      <w:tr>
        <w:tc>
          <w:tcPr>
            <w:tcW w:type="dxa" w:w="2340"/>
            <w:shd w:fill="F5F8FA"/>
          </w:tcPr>
          <w:p>
            <w:pPr>
              <w:spacing w:before="60" w:after="60"/>
            </w:pPr>
            <w:r>
              <w:rPr>
                <w:rFonts w:ascii="Calibri" w:hAnsi="Calibri"/>
                <w:sz w:val="19"/>
              </w:rPr>
              <w:t>15</w:t>
            </w:r>
          </w:p>
        </w:tc>
        <w:tc>
          <w:tcPr>
            <w:tcW w:type="dxa" w:w="2340"/>
            <w:shd w:fill="F5F8FA"/>
          </w:tcPr>
          <w:p>
            <w:pPr>
              <w:spacing w:before="60" w:after="60"/>
            </w:pPr>
            <w:r>
              <w:rPr>
                <w:rFonts w:ascii="Calibri" w:hAnsi="Calibri"/>
                <w:sz w:val="19"/>
              </w:rPr>
              <w:t>W</w:t>
            </w:r>
          </w:p>
        </w:tc>
        <w:tc>
          <w:tcPr>
            <w:tcW w:type="dxa" w:w="2340"/>
            <w:shd w:fill="F5F8FA"/>
          </w:tcPr>
          <w:p>
            <w:pPr>
              <w:spacing w:before="60" w:after="60"/>
            </w:pPr>
            <w:r>
              <w:rPr>
                <w:rFonts w:ascii="Calibri" w:hAnsi="Calibri"/>
                <w:sz w:val="19"/>
              </w:rPr>
              <w:t>Withdrawn</w:t>
            </w:r>
          </w:p>
        </w:tc>
        <w:tc>
          <w:tcPr>
            <w:tcW w:type="dxa" w:w="2340"/>
            <w:shd w:fill="F5F8FA"/>
          </w:tcPr>
          <w:p>
            <w:pPr>
              <w:spacing w:before="60" w:after="60"/>
            </w:pPr>
          </w:p>
        </w:tc>
      </w:tr>
    </w:tbl>
    <w:p>
      <w:pPr>
        <w:spacing w:before="0" w:after="120"/>
      </w:pPr>
    </w:p>
    <w:p>
      <w:pPr>
        <w:spacing w:before="0" w:after="100" w:line="276" w:lineRule="auto"/>
      </w:pPr>
      <w:r>
        <w:rPr>
          <w:rFonts w:ascii="Calibri" w:hAnsi="Calibri"/>
          <w:sz w:val="20"/>
        </w:rPr>
        <w:t>A detailed description of some of the grades is given below:</w:t>
      </w:r>
    </w:p>
    <w:tbl>
      <w:tblPr>
        <w:tblStyle w:val="TableGrid"/>
        <w:tblW w:type="auto" w:w="0"/>
        <w:jc w:val="center"/>
        <w:tblLayout w:type="autofit"/>
        <w:tblLook w:firstColumn="1" w:firstRow="1" w:lastColumn="0" w:lastRow="0" w:noHBand="0" w:noVBand="1" w:val="04A0"/>
      </w:tblPr>
      <w:tblGrid>
        <w:gridCol w:w="3120"/>
        <w:gridCol w:w="3120"/>
        <w:gridCol w:w="3120"/>
      </w:tblGrid>
      <w:tr>
        <w:tc>
          <w:tcPr>
            <w:tcW w:type="dxa" w:w="3120"/>
            <w:shd w:fill="003366"/>
          </w:tcPr>
          <w:p>
            <w:pPr>
              <w:spacing w:before="60" w:after="60"/>
            </w:pPr>
            <w:r>
              <w:rPr>
                <w:rFonts w:ascii="Calibri" w:hAnsi="Calibri"/>
                <w:color w:val="FFFFFF"/>
                <w:sz w:val="19"/>
              </w:rPr>
              <w:t>S.N.</w:t>
            </w:r>
          </w:p>
        </w:tc>
        <w:tc>
          <w:tcPr>
            <w:tcW w:type="dxa" w:w="3120"/>
            <w:shd w:fill="003366"/>
          </w:tcPr>
          <w:p>
            <w:pPr>
              <w:spacing w:before="60" w:after="60"/>
            </w:pPr>
            <w:r>
              <w:rPr>
                <w:rFonts w:ascii="Calibri" w:hAnsi="Calibri"/>
                <w:color w:val="FFFFFF"/>
                <w:sz w:val="19"/>
              </w:rPr>
              <w:t>Grades</w:t>
            </w:r>
          </w:p>
        </w:tc>
        <w:tc>
          <w:tcPr>
            <w:tcW w:type="dxa" w:w="3120"/>
            <w:shd w:fill="003366"/>
          </w:tcPr>
          <w:p>
            <w:pPr>
              <w:spacing w:before="60" w:after="60"/>
            </w:pPr>
            <w:r>
              <w:rPr>
                <w:rFonts w:ascii="Calibri" w:hAnsi="Calibri"/>
                <w:color w:val="FFFFFF"/>
                <w:sz w:val="19"/>
              </w:rPr>
              <w:t>Description</w:t>
            </w:r>
          </w:p>
        </w:tc>
      </w:tr>
      <w:tr>
        <w:tc>
          <w:tcPr>
            <w:tcW w:type="dxa" w:w="3120"/>
            <w:shd w:fill="F5F8FA"/>
          </w:tcPr>
          <w:p>
            <w:pPr>
              <w:spacing w:before="60" w:after="60"/>
            </w:pPr>
            <w:r>
              <w:rPr>
                <w:rFonts w:ascii="Calibri" w:hAnsi="Calibri"/>
                <w:sz w:val="19"/>
              </w:rPr>
              <w:t>1</w:t>
            </w:r>
          </w:p>
        </w:tc>
        <w:tc>
          <w:tcPr>
            <w:tcW w:type="dxa" w:w="3120"/>
            <w:shd w:fill="F5F8FA"/>
          </w:tcPr>
          <w:p>
            <w:pPr>
              <w:spacing w:before="60" w:after="60"/>
            </w:pPr>
            <w:r>
              <w:rPr>
                <w:rFonts w:ascii="Calibri" w:hAnsi="Calibri"/>
                <w:sz w:val="19"/>
              </w:rPr>
              <w:t>A*</w:t>
            </w:r>
          </w:p>
        </w:tc>
        <w:tc>
          <w:tcPr>
            <w:tcW w:type="dxa" w:w="3120"/>
            <w:shd w:fill="F5F8FA"/>
          </w:tcPr>
          <w:p>
            <w:pPr>
              <w:spacing w:before="60" w:after="60"/>
            </w:pPr>
            <w:r>
              <w:rPr>
                <w:rFonts w:ascii="Calibri" w:hAnsi="Calibri"/>
                <w:sz w:val="19"/>
              </w:rPr>
              <w:t>‘A</w:t>
            </w:r>
            <w:r>
              <w:rPr>
                <w:rFonts w:ascii="Calibri" w:hAnsi="Calibri"/>
                <w:i/>
                <w:sz w:val="19"/>
              </w:rPr>
              <w:t>’ grade has the same grade point as ‘A’ grade. The grade ‘A</w:t>
            </w:r>
            <w:r>
              <w:rPr>
                <w:rFonts w:ascii="Calibri" w:hAnsi="Calibri"/>
                <w:sz w:val="19"/>
              </w:rPr>
              <w:t>’ indicates exceptional performance and is awarded only in the Course/(s) in which the number of registered students is more than 50. It should not exceed 2 % of the total strength of the particular theory or lab course. The grade ‘A*’ is not awarded for projects /seminars.</w:t>
            </w:r>
          </w:p>
        </w:tc>
      </w:tr>
      <w:tr>
        <w:tc>
          <w:tcPr>
            <w:tcW w:type="dxa" w:w="3120"/>
          </w:tcPr>
          <w:p>
            <w:pPr>
              <w:spacing w:before="60" w:after="60"/>
            </w:pPr>
            <w:r>
              <w:rPr>
                <w:rFonts w:ascii="Calibri" w:hAnsi="Calibri"/>
                <w:sz w:val="19"/>
              </w:rPr>
              <w:t>2</w:t>
            </w:r>
          </w:p>
        </w:tc>
        <w:tc>
          <w:tcPr>
            <w:tcW w:type="dxa" w:w="3120"/>
          </w:tcPr>
          <w:p>
            <w:pPr>
              <w:spacing w:before="60" w:after="60"/>
            </w:pPr>
            <w:r>
              <w:rPr>
                <w:rFonts w:ascii="Calibri" w:hAnsi="Calibri"/>
                <w:sz w:val="19"/>
              </w:rPr>
              <w:t>E</w:t>
            </w:r>
          </w:p>
        </w:tc>
        <w:tc>
          <w:tcPr>
            <w:tcW w:type="dxa" w:w="3120"/>
          </w:tcPr>
          <w:p>
            <w:pPr>
              <w:spacing w:before="60" w:after="60"/>
            </w:pPr>
            <w:r>
              <w:rPr>
                <w:rFonts w:ascii="Calibri" w:hAnsi="Calibri"/>
                <w:sz w:val="19"/>
              </w:rPr>
              <w:t>‘E’ Grade will be awarded to a student who has scored marks less than the cutoff marks for ‘D’ Grade and has met the attendance criterion of the institute. Students who obtain an ‘E’ Grade will be eligible to appear in an additional examination. If they perform satisfactorily, they become eligible for getting the ‘E’ grade converted to a ‘D’ Grade, otherwise, they will continue to have ‘E’ Grade. The student will have only one chance to appear for the additional examination for an ‘E’ Grade. The additional examination will be conducted within the first week of the next semester. The date of additional examination of Institute core courses for undergraduate students centrally notified, while for all other courses, the date would be announced by the respective course coordinators. A student can appear for a maximum of three such additional tests in a given semester. If a student cannot appear for the test due to any reason(s), he/she will not get any additional chance. If a student with ‘E’ grade in a course does not pass the course through the additional test, or obtains an ‘F’ grade in the course, he/she has to repeat the course if it is a core course. In case the course is an elective, the student may take the same course again or any other course. ‘E’ and ‘F’ Grades are not counted in the calculation of the CGPA; however, these are taken into account in the calculation of the SGPA.</w:t>
            </w:r>
          </w:p>
        </w:tc>
      </w:tr>
      <w:tr>
        <w:tc>
          <w:tcPr>
            <w:tcW w:type="dxa" w:w="3120"/>
            <w:shd w:fill="F5F8FA"/>
          </w:tcPr>
          <w:p>
            <w:pPr>
              <w:spacing w:before="60" w:after="60"/>
            </w:pPr>
            <w:r>
              <w:rPr>
                <w:rFonts w:ascii="Calibri" w:hAnsi="Calibri"/>
                <w:sz w:val="19"/>
              </w:rPr>
              <w:t>3</w:t>
            </w:r>
          </w:p>
        </w:tc>
        <w:tc>
          <w:tcPr>
            <w:tcW w:type="dxa" w:w="3120"/>
            <w:shd w:fill="F5F8FA"/>
          </w:tcPr>
          <w:p>
            <w:pPr>
              <w:spacing w:before="60" w:after="60"/>
            </w:pPr>
            <w:r>
              <w:rPr>
                <w:rFonts w:ascii="Calibri" w:hAnsi="Calibri"/>
                <w:sz w:val="19"/>
              </w:rPr>
              <w:t>I</w:t>
            </w:r>
          </w:p>
        </w:tc>
        <w:tc>
          <w:tcPr>
            <w:tcW w:type="dxa" w:w="3120"/>
            <w:shd w:fill="F5F8FA"/>
          </w:tcPr>
          <w:p>
            <w:pPr>
              <w:spacing w:before="60" w:after="60"/>
            </w:pPr>
            <w:r>
              <w:rPr>
                <w:rFonts w:ascii="Calibri" w:hAnsi="Calibri"/>
                <w:sz w:val="19"/>
              </w:rPr>
              <w:t>An ‘I’ grade is temporarily awarded to a student on his/her request to denote incomplete performance in a course on approval of instructor. An ‘I’ grade is awarded in case missing an evaluation component due to absence on medical grounds or other special circumstances. Requests for ‘I’ grade should be made at the earliest but not later than the last day of major tests. All evaluation requirements for such students in the corresponding course(s) should be completed before the end of the first week of the next semester. Upon completion of all course requirements, the ‘I’ grade is converted to a regular grade.</w:t>
            </w:r>
          </w:p>
        </w:tc>
      </w:tr>
      <w:tr>
        <w:tc>
          <w:tcPr>
            <w:tcW w:type="dxa" w:w="3120"/>
          </w:tcPr>
          <w:p>
            <w:pPr>
              <w:spacing w:before="60" w:after="60"/>
            </w:pPr>
            <w:r>
              <w:rPr>
                <w:rFonts w:ascii="Calibri" w:hAnsi="Calibri"/>
                <w:sz w:val="19"/>
              </w:rPr>
              <w:t>4</w:t>
            </w:r>
          </w:p>
        </w:tc>
        <w:tc>
          <w:tcPr>
            <w:tcW w:type="dxa" w:w="3120"/>
          </w:tcPr>
          <w:p>
            <w:pPr>
              <w:spacing w:before="60" w:after="60"/>
            </w:pPr>
            <w:r>
              <w:rPr>
                <w:rFonts w:ascii="Calibri" w:hAnsi="Calibri"/>
                <w:sz w:val="19"/>
              </w:rPr>
              <w:t>S</w:t>
            </w:r>
          </w:p>
        </w:tc>
        <w:tc>
          <w:tcPr>
            <w:tcW w:type="dxa" w:w="3120"/>
          </w:tcPr>
          <w:p>
            <w:pPr>
              <w:spacing w:before="60" w:after="60"/>
            </w:pPr>
            <w:r>
              <w:rPr>
                <w:rFonts w:ascii="Calibri" w:hAnsi="Calibri"/>
                <w:sz w:val="19"/>
              </w:rPr>
              <w:t>This grade is awarded to a student with satisfactory performance in non-graded and Audit courses. If the stipulated requirements are not fulfilled, the unsatisfactory (U) grade is awarded. The grades obtained in an audit course are not considered in the calculation of SGPA or CGPA.</w:t>
            </w:r>
          </w:p>
        </w:tc>
      </w:tr>
      <w:tr>
        <w:tc>
          <w:tcPr>
            <w:tcW w:type="dxa" w:w="3120"/>
            <w:shd w:fill="F5F8FA"/>
          </w:tcPr>
          <w:p>
            <w:pPr>
              <w:spacing w:before="60" w:after="60"/>
            </w:pPr>
            <w:r>
              <w:rPr>
                <w:rFonts w:ascii="Calibri" w:hAnsi="Calibri"/>
                <w:sz w:val="19"/>
              </w:rPr>
              <w:t>5</w:t>
            </w:r>
          </w:p>
        </w:tc>
        <w:tc>
          <w:tcPr>
            <w:tcW w:type="dxa" w:w="3120"/>
            <w:shd w:fill="F5F8FA"/>
          </w:tcPr>
          <w:p>
            <w:pPr>
              <w:spacing w:before="60" w:after="60"/>
            </w:pPr>
            <w:r>
              <w:rPr>
                <w:rFonts w:ascii="Calibri" w:hAnsi="Calibri"/>
                <w:sz w:val="19"/>
              </w:rPr>
              <w:t>X</w:t>
            </w:r>
          </w:p>
        </w:tc>
        <w:tc>
          <w:tcPr>
            <w:tcW w:type="dxa" w:w="3120"/>
            <w:shd w:fill="F5F8FA"/>
          </w:tcPr>
          <w:p>
            <w:pPr>
              <w:spacing w:before="60" w:after="60"/>
            </w:pPr>
            <w:r>
              <w:rPr>
                <w:rFonts w:ascii="Calibri" w:hAnsi="Calibri"/>
                <w:sz w:val="19"/>
              </w:rPr>
              <w:t>This grade is awarded to a student with satisfactory performance in thesis for continuation</w:t>
            </w:r>
          </w:p>
        </w:tc>
      </w:tr>
      <w:tr>
        <w:tc>
          <w:tcPr>
            <w:tcW w:type="dxa" w:w="3120"/>
          </w:tcPr>
          <w:p>
            <w:pPr>
              <w:spacing w:before="60" w:after="60"/>
            </w:pPr>
            <w:r>
              <w:rPr>
                <w:rFonts w:ascii="Calibri" w:hAnsi="Calibri"/>
                <w:sz w:val="19"/>
              </w:rPr>
              <w:t>6</w:t>
            </w:r>
          </w:p>
        </w:tc>
        <w:tc>
          <w:tcPr>
            <w:tcW w:type="dxa" w:w="3120"/>
          </w:tcPr>
          <w:p>
            <w:pPr>
              <w:spacing w:before="60" w:after="60"/>
            </w:pPr>
            <w:r>
              <w:rPr>
                <w:rFonts w:ascii="Calibri" w:hAnsi="Calibri"/>
                <w:sz w:val="19"/>
              </w:rPr>
              <w:t>U</w:t>
            </w:r>
          </w:p>
        </w:tc>
        <w:tc>
          <w:tcPr>
            <w:tcW w:type="dxa" w:w="3120"/>
          </w:tcPr>
          <w:p>
            <w:pPr>
              <w:spacing w:before="60" w:after="60"/>
            </w:pPr>
            <w:r>
              <w:rPr>
                <w:rFonts w:ascii="Calibri" w:hAnsi="Calibri"/>
                <w:sz w:val="19"/>
              </w:rPr>
              <w:t>This grade is awarded to a student with unsatisfactory performance in thesis, audit or non-graded courses.</w:t>
            </w:r>
          </w:p>
        </w:tc>
      </w:tr>
      <w:tr>
        <w:tc>
          <w:tcPr>
            <w:tcW w:type="dxa" w:w="3120"/>
            <w:shd w:fill="F5F8FA"/>
          </w:tcPr>
          <w:p>
            <w:pPr>
              <w:spacing w:before="60" w:after="60"/>
            </w:pPr>
            <w:r>
              <w:rPr>
                <w:rFonts w:ascii="Calibri" w:hAnsi="Calibri"/>
                <w:sz w:val="19"/>
              </w:rPr>
              <w:t>7</w:t>
            </w:r>
          </w:p>
        </w:tc>
        <w:tc>
          <w:tcPr>
            <w:tcW w:type="dxa" w:w="3120"/>
            <w:shd w:fill="F5F8FA"/>
          </w:tcPr>
          <w:p>
            <w:pPr>
              <w:spacing w:before="60" w:after="60"/>
            </w:pPr>
            <w:r>
              <w:rPr>
                <w:rFonts w:ascii="Calibri" w:hAnsi="Calibri"/>
                <w:sz w:val="19"/>
              </w:rPr>
              <w:t>W</w:t>
            </w:r>
          </w:p>
        </w:tc>
        <w:tc>
          <w:tcPr>
            <w:tcW w:type="dxa" w:w="3120"/>
            <w:shd w:fill="F5F8FA"/>
          </w:tcPr>
          <w:p>
            <w:pPr>
              <w:spacing w:before="60" w:after="60"/>
            </w:pPr>
            <w:r>
              <w:rPr>
                <w:rFonts w:ascii="Calibri" w:hAnsi="Calibri"/>
                <w:sz w:val="19"/>
              </w:rPr>
              <w:t>This grade is awarded to a student who has opted to withdraw from a course. Withdrawal from a course is permitted until the date specified in the Academics Calendar.</w:t>
            </w:r>
          </w:p>
        </w:tc>
      </w:tr>
    </w:tbl>
    <w:p>
      <w:pPr>
        <w:spacing w:before="0" w:after="120"/>
      </w:pP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https://www.iitj.ac.in/office-of-academics/en/academic-regulations#top6.%20Grade%20Card%20and%20Transcript</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https://www.iitj.ac.in/office-of-academics/en/academic-regulations#top5.2%20Procedure%20for%20declaration%20of%20results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https://www.iitj.ac.in/office-of-academics/en/academic-regulations#top8.%20Make-up%20Examinations</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https://www.iitj.ac.in/office-of-academics/en/academic-regulations#top13.4%20Design%20Project%20Evaluation</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https://www.iitj.ac.in/office-of-academics/en/academic-regulations#top13.1%20B.Tech.%20Project%20Evaluation</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https://www.iitj.ac.in/office-of-academics/en/academic-regulations#top13.5%20Conduct%20and%20Evaluation%20of%20B.Tech.%20-M.%20Tech%20Dual%20Degree%20Project</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https://www.iitj.ac.in/office-of-academics/en/academic-regulations#top4.2%20Evaluation</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https://www.iitj.ac.in/materials-engineering/en/regulations</w:t>
        </w:r>
      </w:hyperlink>
    </w:p>
    <w:p>
      <w:pPr>
        <w:pStyle w:val="ListBullet"/>
        <w:spacing w:before="20" w:after="40"/>
      </w:pPr>
      <w:r>
        <w:rPr>
          <w:rFonts w:ascii="Calibri" w:hAnsi="Calibri"/>
          <w:sz w:val="20"/>
        </w:rPr>
        <w:t xml:space="preserve">Traceable Knowledge Units: </w:t>
      </w:r>
      <w:r>
        <w:rPr>
          <w:rFonts w:ascii="Consolas" w:hAnsi="Consolas"/>
          <w:color w:val="333333"/>
          <w:sz w:val="19"/>
        </w:rPr>
        <w:t>0db3c22e2a53de2f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office-of-academics/en/academic-regulations#top6.%2520Grade%2520Card%2520and%2520Transcript" TargetMode="External"/><Relationship Id="rId11" Type="http://schemas.openxmlformats.org/officeDocument/2006/relationships/hyperlink" Target="https://www.iitj.ac.in/office-of-academics/en/academic-regulations#top5.2%2520Procedure%2520for%2520declaration%2520of%2520results" TargetMode="External"/><Relationship Id="rId12" Type="http://schemas.openxmlformats.org/officeDocument/2006/relationships/hyperlink" Target="https://www.iitj.ac.in/office-of-academics/en/academic-regulations#top8.%2520Make-up%2520Examinations" TargetMode="External"/><Relationship Id="rId13" Type="http://schemas.openxmlformats.org/officeDocument/2006/relationships/hyperlink" Target="https://www.iitj.ac.in/office-of-academics/en/academic-regulations#top13.4%2520Design%2520Project%2520Evaluation" TargetMode="External"/><Relationship Id="rId14" Type="http://schemas.openxmlformats.org/officeDocument/2006/relationships/hyperlink" Target="https://www.iitj.ac.in/office-of-academics/en/academic-regulations#top13.1%2520B.Tech.%2520Project%2520Evaluation" TargetMode="External"/><Relationship Id="rId15" Type="http://schemas.openxmlformats.org/officeDocument/2006/relationships/hyperlink" Target="https://www.iitj.ac.in/office-of-academics/en/academic-regulations#top13.5%2520Conduct%2520and%2520Evaluation%2520of%2520B.Tech.%2520-M.%2520Tech%2520Dual%2520Degree%2520Project" TargetMode="External"/><Relationship Id="rId16" Type="http://schemas.openxmlformats.org/officeDocument/2006/relationships/hyperlink" Target="https://www.iitj.ac.in/office-of-academics/en/academic-regulations#top4.2%2520Evaluation" TargetMode="External"/><Relationship Id="rId17" Type="http://schemas.openxmlformats.org/officeDocument/2006/relationships/hyperlink" Target="https://www.iitj.ac.in/materials-engineering/en/regu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