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3366"/>
          <w:sz w:val="40"/>
        </w:rPr>
        <w:t>Office of Academics — International Relations</w:t>
      </w:r>
    </w:p>
    <w:p>
      <w:pPr>
        <w:spacing w:before="0" w:after="280"/>
      </w:pPr>
      <w:r>
        <w:rPr>
          <w:rFonts w:ascii="Calibri" w:hAnsi="Calibri"/>
          <w:i/>
          <w:color w:val="666666"/>
          <w:sz w:val="20"/>
        </w:rPr>
        <w:t>Indian Institute of Technology Jodhpur  |  Category: offices_and_administration/office_of_academics</w:t>
      </w:r>
    </w:p>
    <w:p>
      <w:pPr>
        <w:keepNext/>
        <w:spacing w:before="280" w:after="80"/>
      </w:pPr>
      <w:r>
        <w:rPr>
          <w:rFonts w:ascii="Calibri" w:hAnsi="Calibri"/>
          <w:color w:val="003366"/>
          <w:sz w:val="26"/>
        </w:rPr>
        <w:t>Scope</w:t>
      </w:r>
    </w:p>
    <w:p>
      <w:pPr>
        <w:spacing w:before="0" w:after="100" w:line="276" w:lineRule="auto"/>
      </w:pPr>
      <w:r>
        <w:rPr>
          <w:rFonts w:ascii="Calibri" w:hAnsi="Calibri"/>
          <w:sz w:val="20"/>
        </w:rPr>
        <w:t>Authoritative institutional knowledge for Office of Academics — International Relations at Indian Institute of Technology Jodhpur.</w:t>
      </w:r>
    </w:p>
    <w:p>
      <w:pPr>
        <w:keepNext/>
        <w:spacing w:before="280" w:after="80"/>
      </w:pPr>
      <w:r>
        <w:rPr>
          <w:rFonts w:ascii="Calibri" w:hAnsi="Calibri"/>
          <w:color w:val="003366"/>
          <w:sz w:val="26"/>
        </w:rPr>
        <w:t>10.3 Student Exchange Programme</w:t>
      </w:r>
    </w:p>
    <w:p>
      <w:pPr>
        <w:spacing w:before="0" w:after="100" w:line="276" w:lineRule="auto"/>
      </w:pPr>
      <w:r>
        <w:rPr>
          <w:rFonts w:ascii="Calibri" w:hAnsi="Calibri"/>
          <w:sz w:val="20"/>
        </w:rPr>
        <w:t>[ [Back to index] ](https://www.iitj.ac.in/office-of-academics/en/academic-regulations#top10.3%20Student%20Exchange%20Programme)</w:t>
      </w:r>
    </w:p>
    <w:p>
      <w:pPr>
        <w:spacing w:before="0" w:after="100" w:line="276" w:lineRule="auto"/>
      </w:pPr>
      <w:r>
        <w:rPr>
          <w:rFonts w:ascii="Calibri" w:hAnsi="Calibri"/>
          <w:sz w:val="20"/>
        </w:rPr>
        <w:t>Student Exchange Program provides for a one/two-semester visit by students between the two academic institutions on a reciprocal basis. The visiting student must be a full-time student enrolled in a degree program in their Home Institution. The exchange program is open to full-time undergraduate and graduate students of each Home Institution. It will be executed as per the pre-approved arrangement (including an MoU) between the institutions.</w:t>
      </w:r>
    </w:p>
    <w:p>
      <w:pPr>
        <w:spacing w:before="0" w:after="100" w:line="276" w:lineRule="auto"/>
      </w:pPr>
      <w:r>
        <w:rPr>
          <w:rFonts w:ascii="Calibri" w:hAnsi="Calibri"/>
          <w:sz w:val="20"/>
        </w:rPr>
        <w:t>Selection of students under such program will be made by the DUGC after assessing the preparedness of students to meet the requirements of the planned coursework/research at the Host Institution and the relevance of the planned coursework/research to the enrolled degree program. A visiting student may carry out research or take courses for credit or otherwise or may use other academic facilities as per pre-approved arrangement (including an MoU).</w:t>
      </w:r>
    </w:p>
    <w:p>
      <w:pPr>
        <w:spacing w:before="0" w:after="100" w:line="276" w:lineRule="auto"/>
      </w:pPr>
      <w:r>
        <w:rPr>
          <w:rFonts w:ascii="Calibri" w:hAnsi="Calibri"/>
          <w:sz w:val="20"/>
        </w:rPr>
        <w:t>Under exchange program, a student of IIT Jodhpur can register at another academic institution in India or abroad with the expectation of credit transfer up to 20 credits per semester in lieu of the course work or research work through a pre-approved arrangement including an MoU.</w:t>
      </w:r>
    </w:p>
    <w:p>
      <w:pPr>
        <w:spacing w:before="0" w:after="100" w:line="276" w:lineRule="auto"/>
      </w:pPr>
      <w:r>
        <w:rPr>
          <w:rFonts w:ascii="Calibri" w:hAnsi="Calibri"/>
          <w:sz w:val="20"/>
        </w:rPr>
        <w:t>On return, the student may apply to DUGC for waiver of credits from her/his program requirements which s/he thinks are equivalent to the courses successfully completed at the visited academic institution as an exchange student. With the application, the student must submit an official transcript of the grades obtained by her/him at the visited academic institution as an exchange student and other documents/material that the concerned DUGC may require for evaluation. The DUGC will determine, by whatever means it deems fit, the equivalent credits requirements for which the student may be given a waiver in her/his programme at IIT Jodhpur. DUGC will submit its recommendations to course equivalence committee for its approval. Moreover,</w:t>
      </w:r>
    </w:p>
    <w:p>
      <w:pPr>
        <w:pStyle w:val="ListBullet"/>
        <w:spacing w:before="20" w:after="40"/>
      </w:pPr>
      <w:r>
        <w:rPr>
          <w:rFonts w:ascii="Calibri" w:hAnsi="Calibri"/>
          <w:sz w:val="20"/>
        </w:rPr>
        <w:t>The credits/grades indicated in the grade sheet obtained from the academic institution in which the student has completed the courses should be used by the student as part of his/her transcripts.</w:t>
      </w:r>
    </w:p>
    <w:p>
      <w:pPr>
        <w:pStyle w:val="ListBullet"/>
        <w:spacing w:before="20" w:after="40"/>
      </w:pPr>
      <w:r>
        <w:rPr>
          <w:rFonts w:ascii="Calibri" w:hAnsi="Calibri"/>
          <w:sz w:val="20"/>
        </w:rPr>
        <w:t>IIT Jodhpur transcripts will only indicate the courses, credits and grades completed at IIT Jodhpur and the total number of credits (without grades) earned in other academic institutions in a particular semester.</w:t>
      </w:r>
    </w:p>
    <w:p>
      <w:pPr>
        <w:pStyle w:val="ListBullet"/>
        <w:spacing w:before="20" w:after="40"/>
      </w:pPr>
      <w:r>
        <w:rPr>
          <w:rFonts w:ascii="Calibri" w:hAnsi="Calibri"/>
          <w:sz w:val="20"/>
        </w:rPr>
        <w:t>The CGPA calculation based on credits earned/completed at IIT Jodhpur alone is to be considered for award of prizes.</w:t>
      </w:r>
    </w:p>
    <w:p>
      <w:pPr>
        <w:pStyle w:val="ListBullet"/>
        <w:spacing w:before="20" w:after="40"/>
      </w:pPr>
      <w:r>
        <w:rPr>
          <w:rFonts w:ascii="Calibri" w:hAnsi="Calibri"/>
          <w:sz w:val="20"/>
        </w:rPr>
        <w:t>Academic Regulations</w:t>
      </w:r>
    </w:p>
    <w:p>
      <w:pPr>
        <w:keepNext/>
        <w:spacing w:before="280" w:after="80"/>
      </w:pPr>
      <w:r>
        <w:rPr>
          <w:rFonts w:ascii="Calibri" w:hAnsi="Calibri"/>
          <w:color w:val="003366"/>
          <w:sz w:val="26"/>
        </w:rPr>
        <w:t>Official Sources and Provenance</w:t>
      </w:r>
    </w:p>
    <w:p>
      <w:pPr>
        <w:pStyle w:val="ListBullet"/>
        <w:spacing w:before="20" w:after="40"/>
      </w:pPr>
      <w:r>
        <w:rPr>
          <w:rFonts w:ascii="Calibri" w:hAnsi="Calibri"/>
          <w:sz w:val="20"/>
        </w:rPr>
        <w:t xml:space="preserve">Canonical Institution: </w:t>
      </w:r>
      <w:hyperlink r:id="rId9">
        <w:r>
          <w:rPr>
            <w:color w:val="004B87"/>
            <w:u w:val="single"/>
          </w:rPr>
          <w:t xml:space="preserve">Indian Institute of Technology Jodhpur</w:t>
        </w:r>
      </w:hyperlink>
    </w:p>
    <w:p>
      <w:pPr>
        <w:pStyle w:val="ListBullet"/>
        <w:spacing w:before="20" w:after="40"/>
      </w:pPr>
      <w:r>
        <w:rPr>
          <w:rFonts w:ascii="Calibri" w:hAnsi="Calibri"/>
          <w:sz w:val="20"/>
        </w:rPr>
        <w:t xml:space="preserve">Authoritative Source URL: </w:t>
      </w:r>
      <w:hyperlink r:id="rId10">
        <w:r>
          <w:rPr>
            <w:color w:val="004B87"/>
            <w:u w:val="single"/>
          </w:rPr>
          <w:t xml:space="preserve">https://www.iitj.ac.in/office-of-academics/en/academic-regulations#top10.3%20Student%20Exchange%20Programme</w:t>
        </w:r>
      </w:hyperlink>
    </w:p>
    <w:p>
      <w:pPr>
        <w:pStyle w:val="ListBullet"/>
        <w:spacing w:before="20" w:after="40"/>
      </w:pPr>
      <w:r>
        <w:rPr>
          <w:rFonts w:ascii="Calibri" w:hAnsi="Calibri"/>
          <w:sz w:val="20"/>
        </w:rPr>
        <w:t xml:space="preserve">Authoritative Source URL: </w:t>
      </w:r>
      <w:hyperlink r:id="rId11">
        <w:r>
          <w:rPr>
            <w:color w:val="004B87"/>
            <w:u w:val="single"/>
          </w:rPr>
          <w:t xml:space="preserve">https://www.iitj.ac.in/materials-engineering/en/regulations</w:t>
        </w:r>
      </w:hyperlink>
    </w:p>
    <w:p>
      <w:pPr>
        <w:pStyle w:val="ListBullet"/>
        <w:spacing w:before="20" w:after="40"/>
      </w:pPr>
      <w:r>
        <w:rPr>
          <w:rFonts w:ascii="Calibri" w:hAnsi="Calibri"/>
          <w:sz w:val="20"/>
        </w:rPr>
        <w:t xml:space="preserve">Traceable Knowledge Units: </w:t>
      </w:r>
      <w:r>
        <w:rPr>
          <w:rFonts w:ascii="Consolas" w:hAnsi="Consolas"/>
          <w:color w:val="333333"/>
          <w:sz w:val="19"/>
        </w:rPr>
        <w:t>f8c72d2407d0022e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itj.ac.in/" TargetMode="External"/><Relationship Id="rId10" Type="http://schemas.openxmlformats.org/officeDocument/2006/relationships/hyperlink" Target="https://www.iitj.ac.in/office-of-academics/en/academic-regulations#top10.3%2520Student%2520Exchange%2520Programme" TargetMode="External"/><Relationship Id="rId11" Type="http://schemas.openxmlformats.org/officeDocument/2006/relationships/hyperlink" Target="https://www.iitj.ac.in/materials-engineering/en/regul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