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Overview</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Overview at Indian Institute of Technology Jodhpur.</w:t>
      </w:r>
    </w:p>
    <w:p>
      <w:pPr>
        <w:keepNext/>
        <w:spacing w:before="280" w:after="80"/>
      </w:pPr>
      <w:r>
        <w:rPr>
          <w:rFonts w:ascii="Calibri" w:hAnsi="Calibri"/>
          <w:color w:val="003366"/>
          <w:sz w:val="26"/>
        </w:rPr>
        <w:t>1. Introduction</w:t>
      </w:r>
    </w:p>
    <w:p>
      <w:pPr>
        <w:spacing w:before="0" w:after="100" w:line="276" w:lineRule="auto"/>
      </w:pPr>
      <w:r>
        <w:rPr>
          <w:rFonts w:ascii="Calibri" w:hAnsi="Calibri"/>
          <w:sz w:val="20"/>
        </w:rPr>
        <w:t>[ [Back to index] ](https://www.iitj.ac.in/office-of-academics/en/academic-regulations#top1.%20Introduction)</w:t>
      </w:r>
    </w:p>
    <w:p>
      <w:pPr>
        <w:spacing w:before="0" w:after="100" w:line="276" w:lineRule="auto"/>
      </w:pPr>
      <w:r>
        <w:rPr>
          <w:rFonts w:ascii="Calibri" w:hAnsi="Calibri"/>
          <w:sz w:val="20"/>
        </w:rPr>
        <w:t>Academic programmes at Indian Institute of Technology, Jodhpur are designed to develop thehighest calibre human resource capable of understanding the new patterns of knowledgecreation across disciplines obliterating traditional boundaries between science, humanities,social sciences and engineering. IIT Jodhpur aims to produce quality professionals who would beable to address profound and wide-ranging societal challenges of the 21st century such asenergy, food, water, housing, mobility, and health. In addition to imparting scientificknowledge, IIT Jodhpur endeavours to inculcate human qualities of courage, integrity, fairness,humility and team effort among its graduates through curricular, co-curricular andextra-curricular activities on campus.</w:t>
      </w:r>
    </w:p>
    <w:p>
      <w:pPr>
        <w:spacing w:before="0" w:after="100" w:line="276" w:lineRule="auto"/>
      </w:pPr>
      <w:r>
        <w:rPr>
          <w:rFonts w:ascii="Calibri" w:hAnsi="Calibri"/>
          <w:sz w:val="20"/>
        </w:rPr>
        <w:t>The undergraduate academic programmes focus on developing a temper for the life longprocess of learning, creative thinking and exploring. The postgraduate academic programmesfocus on developing a deep understanding of the subject of study coupled with creativeinquisitiveness and the ability to address and solve new problems with a free and objectiveMind.</w:t>
      </w:r>
    </w:p>
    <w:p>
      <w:pPr>
        <w:spacing w:before="0" w:after="100" w:line="276" w:lineRule="auto"/>
      </w:pPr>
      <w:r>
        <w:rPr>
          <w:rFonts w:ascii="Calibri" w:hAnsi="Calibri"/>
          <w:sz w:val="20"/>
        </w:rPr>
        <w:t>The academic programmes are based on three tenets of (1) semester system, (2) CreditSystem and (3) Relative Grading. These academic programmes are administered by a dulyconstituted Academic Committee (AC) through the office of Academics. The AC will be chairedby Dean (Academics). In the absence of Dean (Academics), Associate Dean (Academics-PG)/Associate Dean (Academics- UG) will discharge the responsibilities of Dean (Academics).The Senate of the Institute has formulated a set of guidelines and rules to ensure a highstandard of performance as well as for smooth functioning of the academic programmes. Withinthis broad set of guidelines, subject to the approval of Senate, different programmes caninclude additional academic requirements as deemed necessary for that programme. Theseacademic programmes are continuously monitored by the Senate and make appropriatemodifications/ improvements as and when necessary.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https://www.iitj.ac.in/office-of-academics/en/academic-regulations#top1.%20Introduction</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2ee711841650817b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ademics/en/academic-regulations#top1.%2520Introduction" TargetMode="External"/><Relationship Id="rId11"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