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Research</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Research at Indian Institute of Technology Jodhpur.</w:t>
      </w:r>
    </w:p>
    <w:p>
      <w:pPr>
        <w:keepNext/>
        <w:spacing w:before="280" w:after="80"/>
      </w:pPr>
      <w:r>
        <w:rPr>
          <w:rFonts w:ascii="Calibri" w:hAnsi="Calibri"/>
          <w:color w:val="003366"/>
          <w:sz w:val="26"/>
        </w:rPr>
        <w:t>26.1.4 Composition of Departmental Research Committee (DRC)</w:t>
      </w:r>
    </w:p>
    <w:p>
      <w:pPr>
        <w:spacing w:before="0" w:after="100" w:line="276" w:lineRule="auto"/>
      </w:pPr>
      <w:r>
        <w:rPr>
          <w:rFonts w:ascii="Calibri" w:hAnsi="Calibri"/>
          <w:sz w:val="20"/>
        </w:rPr>
        <w:t>The DRC will consist of coordinators of M.Tech, M.Tech.-Ph.D. dual degree and Ph.D. programs of the department, head of the Department and Senior Professor/Associate Professor proposed by the Head. The DRC will be Chaired by Professor/Associate Professor nominated by Head of the Department. The Chairman of the DRC will be a member of the Academic Committee. The DRC has to be approved by Dean (Academics). Ph.D. program coordinator will be the convenor of DRC and will be proposed by the head. The tenure for the DRC will be 2 years.</w:t>
      </w:r>
    </w:p>
    <w:p>
      <w:pPr>
        <w:keepNext/>
        <w:spacing w:before="280" w:after="80"/>
      </w:pPr>
      <w:r>
        <w:rPr>
          <w:rFonts w:ascii="Calibri" w:hAnsi="Calibri"/>
          <w:color w:val="003366"/>
          <w:sz w:val="26"/>
        </w:rPr>
        <w:t>26.5.3 Research Proposal</w:t>
      </w:r>
    </w:p>
    <w:p>
      <w:pPr>
        <w:spacing w:before="0" w:after="100" w:line="276" w:lineRule="auto"/>
      </w:pPr>
      <w:r>
        <w:rPr>
          <w:rFonts w:ascii="Calibri" w:hAnsi="Calibri"/>
          <w:sz w:val="20"/>
        </w:rPr>
        <w:t>Research proposal (report + presentation) will be evaluated by SRC after successful completion of SOTA. The research proposal must include representative research work equivalent to research work worth 16 credits. SRC will allocate a letter grade based on the performance of the candidate.</w:t>
      </w:r>
    </w:p>
    <w:p>
      <w:pPr>
        <w:keepNext/>
        <w:spacing w:before="280" w:after="80"/>
      </w:pPr>
      <w:r>
        <w:rPr>
          <w:rFonts w:ascii="Calibri" w:hAnsi="Calibri"/>
          <w:color w:val="003366"/>
          <w:sz w:val="26"/>
        </w:rPr>
        <w:t>26.2 Change of Research Supervisor</w:t>
      </w:r>
    </w:p>
    <w:p>
      <w:pPr>
        <w:spacing w:before="0" w:after="100" w:line="276" w:lineRule="auto"/>
      </w:pPr>
      <w:r>
        <w:rPr>
          <w:rFonts w:ascii="Calibri" w:hAnsi="Calibri"/>
          <w:sz w:val="20"/>
        </w:rPr>
        <w:t>[ [Back to index] ](https://www.iitj.ac.in/office-of-academics/en/academic-regulations#top26.2%20Change%20of%20Research%20Supervisor)</w:t>
      </w:r>
    </w:p>
    <w:p>
      <w:pPr>
        <w:spacing w:before="0" w:after="100" w:line="276" w:lineRule="auto"/>
      </w:pPr>
      <w:r>
        <w:rPr>
          <w:rFonts w:ascii="Calibri" w:hAnsi="Calibri"/>
          <w:sz w:val="20"/>
        </w:rPr>
        <w:t>Change of supervisor (s), under exceptional circumstances, shall be permitted by Dean (Academics) on the recommendation of the DRC/IRC after obtaining the consent of (i) the student (ii) the present supervisor (s) and (iii) the proposed supervisor(s). If required, realignment of student’s research program will happen under the supervision of the DRC/IRC.</w:t>
      </w:r>
    </w:p>
    <w:p>
      <w:pPr>
        <w:keepNext/>
        <w:spacing w:before="280" w:after="80"/>
      </w:pPr>
      <w:r>
        <w:rPr>
          <w:rFonts w:ascii="Calibri" w:hAnsi="Calibri"/>
          <w:color w:val="003366"/>
          <w:sz w:val="26"/>
        </w:rPr>
        <w:t>26.1.5 Composition of Interdisciplinary Research Committee (IRC)</w:t>
      </w:r>
    </w:p>
    <w:p>
      <w:pPr>
        <w:spacing w:before="0" w:after="100" w:line="276" w:lineRule="auto"/>
      </w:pPr>
      <w:r>
        <w:rPr>
          <w:rFonts w:ascii="Calibri" w:hAnsi="Calibri"/>
          <w:sz w:val="20"/>
        </w:rPr>
        <w:t>The IRC will consist of all coordinators of IDRPs and Senior Professor/Associate Professor as the chairman of the IRC will be nominated by Dean (Academics). The chairman of IRC will be a member of AC. One of the IDRP co-ordinators would be convenor of the committee. The tenure for the IRC will be 2 years. The IRC will be approved by the Dean (Academics).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https://www.iitj.ac.in/office-of-academics/en/academic-regulations#top26.2%20Change%20of%20Research%20Supervisor</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https://www.iitj.ac.in/materials-engineering/en/regulations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14bd1276ade36e97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cademics/en/academic-regulations#top26.2%2520Change%2520of%2520Research%2520Supervisor" TargetMode="External"/><Relationship Id="rId11"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