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Office of Academics — Rules and Regulations</w:t>
      </w:r>
    </w:p>
    <w:p>
      <w:pPr>
        <w:spacing w:before="0" w:after="280"/>
      </w:pPr>
      <w:r>
        <w:rPr>
          <w:rFonts w:ascii="Calibri" w:hAnsi="Calibri"/>
          <w:i/>
          <w:color w:val="666666"/>
          <w:sz w:val="20"/>
        </w:rPr>
        <w:t>Indian Institute of Technology Jodhpur  |  Category: offices_and_administration/office_of_academics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Office of Academics — Rules and Regulations at Indian Institute of Technology Jodhpur.</w:t>
      </w:r>
    </w:p>
    <w:p>
      <w:pPr>
        <w:keepNext/>
        <w:spacing w:before="280" w:after="80"/>
      </w:pPr>
      <w:r>
        <w:rPr>
          <w:rFonts w:ascii="Calibri" w:hAnsi="Calibri"/>
          <w:color w:val="003366"/>
          <w:sz w:val="26"/>
        </w:rPr>
        <w:t>15. Leave Rules</w:t>
      </w:r>
    </w:p>
    <w:p>
      <w:pPr>
        <w:spacing w:before="0" w:after="100" w:line="276" w:lineRule="auto"/>
      </w:pPr>
      <w:r>
        <w:rPr>
          <w:rFonts w:ascii="Calibri" w:hAnsi="Calibri"/>
          <w:sz w:val="20"/>
        </w:rPr>
        <w:t>[ [Back to index] ](https://www.iitj.ac.in/office-of-academics/en/academic-regulations#top15.%20Leave%20Rules)</w:t>
      </w:r>
    </w:p>
    <w:p>
      <w:pPr>
        <w:spacing w:before="0" w:after="100" w:line="276" w:lineRule="auto"/>
      </w:pPr>
      <w:r>
        <w:rPr>
          <w:rFonts w:ascii="Calibri" w:hAnsi="Calibri"/>
          <w:sz w:val="20"/>
        </w:rPr>
        <w:t>Application for leave of absence should be addressed to the Convener DUGC, and submitted with a medical certificate, if applicable. Usually, leave must not be availed of without prior approval of the DUGC.</w:t>
      </w:r>
    </w:p>
    <w:p>
      <w:pPr>
        <w:keepNext/>
        <w:spacing w:before="280" w:after="80"/>
      </w:pPr>
      <w:r>
        <w:rPr>
          <w:rFonts w:ascii="Calibri" w:hAnsi="Calibri"/>
          <w:color w:val="003366"/>
          <w:sz w:val="26"/>
        </w:rPr>
        <w:t>25. Rules and Regulations For M.Tech./M.Sc._Project</w:t>
      </w:r>
    </w:p>
    <w:p>
      <w:pPr>
        <w:spacing w:before="0" w:after="100" w:line="276" w:lineRule="auto"/>
      </w:pPr>
      <w:r>
        <w:rPr>
          <w:rFonts w:ascii="Calibri" w:hAnsi="Calibri"/>
          <w:sz w:val="20"/>
        </w:rPr>
        <w:t>[ [Back to index] ](https://www.iitj.ac.in/office-of-academics/en/academic-regulations#top25.%20Rules%20and%20Regulations%20For%20M.Tech./M.Sc._Project)</w:t>
      </w:r>
    </w:p>
    <w:p>
      <w:pPr>
        <w:pStyle w:val="ListBullet"/>
        <w:spacing w:before="20" w:after="40"/>
      </w:pPr>
      <w:r>
        <w:rPr>
          <w:rFonts w:ascii="Calibri" w:hAnsi="Calibri"/>
          <w:sz w:val="20"/>
        </w:rPr>
        <w:t>Allotment of students to supervisors will be made based on the preferences of the students and supervisor(s).</w:t>
      </w:r>
    </w:p>
    <w:p>
      <w:pPr>
        <w:pStyle w:val="ListBullet"/>
        <w:spacing w:before="20" w:after="40"/>
      </w:pPr>
      <w:r>
        <w:rPr>
          <w:rFonts w:ascii="Calibri" w:hAnsi="Calibri"/>
          <w:sz w:val="20"/>
        </w:rPr>
        <w:t>The supervisor and area identification must be completed by the end of the first semester.</w:t>
      </w:r>
    </w:p>
    <w:p>
      <w:pPr>
        <w:pStyle w:val="ListBullet"/>
        <w:spacing w:before="20" w:after="40"/>
      </w:pPr>
      <w:r>
        <w:rPr>
          <w:rFonts w:ascii="Calibri" w:hAnsi="Calibri"/>
          <w:sz w:val="20"/>
        </w:rPr>
        <w:t>Coordinator, M. Tech. Program would advise until the student is assigned to a regular supervisor(s).</w:t>
      </w:r>
    </w:p>
    <w:p>
      <w:pPr>
        <w:pStyle w:val="ListBullet"/>
        <w:spacing w:before="20" w:after="40"/>
      </w:pPr>
      <w:r>
        <w:rPr>
          <w:rFonts w:ascii="Calibri" w:hAnsi="Calibri"/>
          <w:sz w:val="20"/>
        </w:rPr>
        <w:t>Each semester a letter grade will be awarded after examination by a committee consisting of DRC, supervisor(s) and two members conversant with the field of research with at least one member external to the department (maybe outside the Institute also). DRC will appoint examiners in consultation with the supervisor. The same committee may examine more than one thesis. External member can be on VC. DRC will ensure that Award of letter grade would be as per relative grading policy.</w:t>
      </w:r>
    </w:p>
    <w:p>
      <w:pPr>
        <w:pStyle w:val="ListBullet"/>
        <w:spacing w:before="20" w:after="40"/>
      </w:pPr>
      <w:r>
        <w:rPr>
          <w:rFonts w:ascii="Calibri" w:hAnsi="Calibri"/>
          <w:sz w:val="20"/>
        </w:rPr>
        <w:t>A regular full-time student must register for M.Tech Project Part-1 in the summer semester following 2 nd semester. He must obtain a satisfactory grade to continue M.Tech project part-1 in the next semester. His performance in the summer semester will be evaluated by his supervisor.</w:t>
      </w:r>
    </w:p>
    <w:p>
      <w:pPr>
        <w:keepNext/>
        <w:spacing w:before="280" w:after="80"/>
      </w:pPr>
      <w:r>
        <w:rPr>
          <w:rFonts w:ascii="Calibri" w:hAnsi="Calibri"/>
          <w:color w:val="003366"/>
          <w:sz w:val="26"/>
        </w:rPr>
        <w:t>23. Leave Rules</w:t>
      </w:r>
    </w:p>
    <w:p>
      <w:pPr>
        <w:spacing w:before="0" w:after="100" w:line="276" w:lineRule="auto"/>
      </w:pPr>
      <w:r>
        <w:rPr>
          <w:rFonts w:ascii="Calibri" w:hAnsi="Calibri"/>
          <w:sz w:val="20"/>
        </w:rPr>
        <w:t>[ [Back to index] ](https://www.iitj.ac.in/office-of-academics/en/academic-regulations#top23.%20Leave%20Rules)</w:t>
      </w:r>
    </w:p>
    <w:p>
      <w:pPr>
        <w:spacing w:before="0" w:after="100" w:line="276" w:lineRule="auto"/>
      </w:pPr>
      <w:r>
        <w:rPr>
          <w:rFonts w:ascii="Calibri" w:hAnsi="Calibri"/>
          <w:sz w:val="20"/>
        </w:rPr>
        <w:t>Application for leave of absence should be addressed to the Convener DRC, and submitted with a medical certificate, if applicable. Usually, leave must not be availed of without prior approval of the DRC.</w:t>
      </w:r>
    </w:p>
    <w:p>
      <w:pPr>
        <w:keepNext/>
        <w:spacing w:before="280" w:after="80"/>
      </w:pPr>
      <w:r>
        <w:rPr>
          <w:rFonts w:ascii="Calibri" w:hAnsi="Calibri"/>
          <w:color w:val="003366"/>
          <w:sz w:val="26"/>
        </w:rPr>
        <w:t>12.3 Exceptions to Regular Rules regarding Academic Load</w:t>
      </w:r>
    </w:p>
    <w:p>
      <w:pPr>
        <w:spacing w:before="0" w:after="100" w:line="276" w:lineRule="auto"/>
      </w:pPr>
      <w:r>
        <w:rPr>
          <w:rFonts w:ascii="Calibri" w:hAnsi="Calibri"/>
          <w:sz w:val="20"/>
        </w:rPr>
        <w:t>[ [Back to index] ](https://www.iitj.ac.in/office-of-academics/en/academic-regulations#top12.3%20Exceptions%20to%20Regular%20Rules%20regarding%20Academic%20Load)</w:t>
      </w:r>
    </w:p>
    <w:p>
      <w:pPr>
        <w:pStyle w:val="ListBullet"/>
        <w:spacing w:before="20" w:after="40"/>
      </w:pPr>
      <w:r>
        <w:rPr>
          <w:rFonts w:ascii="Calibri" w:hAnsi="Calibri"/>
          <w:sz w:val="20"/>
        </w:rPr>
        <w:t>Under-load: Students who are identified as academically deficient (on academic probation) may register for a maximum of 16 credits.</w:t>
      </w:r>
    </w:p>
    <w:p>
      <w:pPr>
        <w:pStyle w:val="ListBullet"/>
        <w:spacing w:before="20" w:after="40"/>
      </w:pPr>
      <w:r>
        <w:rPr>
          <w:rFonts w:ascii="Calibri" w:hAnsi="Calibri"/>
          <w:sz w:val="20"/>
        </w:rPr>
        <w:t>Over-load: Overloading may be allowed only for students who are not on academic probation and satisfy one of the following criteria: Students are allowed to overload only when they need 70 or less additional credits to complete all the requirements of their programme. Beyond the second semester, any student with a CGPA of 7.5 or higher may be allowed to overload.</w:t>
      </w:r>
    </w:p>
    <w:p>
      <w:pPr>
        <w:keepNext/>
        <w:spacing w:before="280" w:after="80"/>
      </w:pPr>
      <w:r>
        <w:rPr>
          <w:rFonts w:ascii="Calibri" w:hAnsi="Calibri"/>
          <w:color w:val="003366"/>
          <w:sz w:val="26"/>
        </w:rPr>
        <w:t>20.4 Reservation Policy</w:t>
      </w:r>
    </w:p>
    <w:p>
      <w:pPr>
        <w:spacing w:before="0" w:after="100" w:line="276" w:lineRule="auto"/>
      </w:pPr>
      <w:r>
        <w:rPr>
          <w:rFonts w:ascii="Calibri" w:hAnsi="Calibri"/>
          <w:sz w:val="20"/>
        </w:rPr>
        <w:t>The reservation policy of Government of India will be followed.</w:t>
      </w:r>
    </w:p>
    <w:p>
      <w:pPr>
        <w:keepNext/>
        <w:spacing w:before="280" w:after="80"/>
      </w:pPr>
      <w:r>
        <w:rPr>
          <w:rFonts w:ascii="Calibri" w:hAnsi="Calibri"/>
          <w:color w:val="003366"/>
          <w:sz w:val="26"/>
        </w:rPr>
        <w:t>18. Amendments</w:t>
      </w:r>
    </w:p>
    <w:p>
      <w:pPr>
        <w:spacing w:before="0" w:after="100" w:line="276" w:lineRule="auto"/>
      </w:pPr>
      <w:r>
        <w:rPr>
          <w:rFonts w:ascii="Calibri" w:hAnsi="Calibri"/>
          <w:sz w:val="20"/>
        </w:rPr>
        <w:t>[ [Back to index] ](https://www.iitj.ac.in/office-of-academics/en/academic-regulations#top18.%20Amendments)</w:t>
      </w:r>
    </w:p>
    <w:p>
      <w:pPr>
        <w:spacing w:before="0" w:after="100" w:line="276" w:lineRule="auto"/>
      </w:pPr>
      <w:r>
        <w:rPr>
          <w:rFonts w:ascii="Calibri" w:hAnsi="Calibri"/>
          <w:sz w:val="20"/>
        </w:rPr>
        <w:t>Notwithstanding anything contained in this document, the Senate of IIT Jodhpur reserves the right to modify/amend without notice, the curricula, procedures, requirements, and rules pertaining to its B.Tech. Programs.</w:t>
      </w:r>
    </w:p>
    <w:p>
      <w:pPr>
        <w:keepNext/>
        <w:spacing w:before="280" w:after="80"/>
      </w:pPr>
      <w:r>
        <w:rPr>
          <w:rFonts w:ascii="Calibri" w:hAnsi="Calibri"/>
          <w:color w:val="003366"/>
          <w:sz w:val="26"/>
        </w:rPr>
        <w:t>10.2 Reservation Policy</w:t>
      </w:r>
    </w:p>
    <w:p>
      <w:pPr>
        <w:spacing w:before="0" w:after="100" w:line="276" w:lineRule="auto"/>
      </w:pPr>
      <w:r>
        <w:rPr>
          <w:rFonts w:ascii="Calibri" w:hAnsi="Calibri"/>
          <w:sz w:val="20"/>
        </w:rPr>
        <w:t>[ [Back to index] ](https://www.iitj.ac.in/office-of-academics/en/academic-regulations#top10.2%20Reservation%20Policy)</w:t>
      </w:r>
    </w:p>
    <w:p>
      <w:pPr>
        <w:spacing w:before="0" w:after="100" w:line="276" w:lineRule="auto"/>
      </w:pPr>
      <w:r>
        <w:rPr>
          <w:rFonts w:ascii="Calibri" w:hAnsi="Calibri"/>
          <w:sz w:val="20"/>
        </w:rPr>
        <w:t>The reservation policy of Government of India will be followed.</w:t>
      </w:r>
    </w:p>
    <w:p>
      <w:pPr>
        <w:keepNext/>
        <w:spacing w:before="280" w:after="80"/>
      </w:pPr>
      <w:r>
        <w:rPr>
          <w:rFonts w:ascii="Calibri" w:hAnsi="Calibri"/>
          <w:color w:val="003366"/>
          <w:sz w:val="26"/>
        </w:rPr>
        <w:t>Academic Regulations</w:t>
      </w:r>
    </w:p>
    <w:p>
      <w:pPr>
        <w:spacing w:before="0" w:after="100" w:line="276" w:lineRule="auto"/>
      </w:pPr>
      <w:hyperlink r:id="rId9">
        <w:r>
          <w:rPr>
            <w:color w:val="004B87"/>
            <w:u w:val="single"/>
          </w:rPr>
          <w:t xml:space="preserve">Old Regulation</w:t>
        </w:r>
      </w:hyperlink>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003366"/>
          </w:tcPr>
          <w:p>
            <w:pPr>
              <w:spacing w:before="60" w:after="60"/>
            </w:pPr>
            <w:r>
              <w:rPr>
                <w:rFonts w:ascii="Calibri" w:hAnsi="Calibri"/>
                <w:color w:val="FFFFFF"/>
                <w:sz w:val="19"/>
              </w:rPr>
              <w:t>S.No.</w:t>
            </w:r>
          </w:p>
        </w:tc>
        <w:tc>
          <w:tcPr>
            <w:tcW w:type="dxa" w:w="4680"/>
            <w:shd w:fill="003366"/>
          </w:tcPr>
          <w:p>
            <w:pPr>
              <w:spacing w:before="60" w:after="60"/>
            </w:pPr>
            <w:r>
              <w:rPr>
                <w:rFonts w:ascii="Calibri" w:hAnsi="Calibri"/>
                <w:color w:val="FFFFFF"/>
                <w:sz w:val="19"/>
              </w:rPr>
              <w:t>Regulations governing Programs offered by the Institute for students</w:t>
            </w:r>
          </w:p>
        </w:tc>
      </w:tr>
      <w:tr>
        <w:tc>
          <w:tcPr>
            <w:tcW w:type="dxa" w:w="4680"/>
            <w:shd w:fill="F5F8FA"/>
          </w:tcPr>
          <w:p>
            <w:pPr>
              <w:spacing w:before="60" w:after="60"/>
            </w:pPr>
            <w:r>
              <w:rPr>
                <w:rFonts w:ascii="Calibri" w:hAnsi="Calibri"/>
                <w:sz w:val="19"/>
              </w:rPr>
              <w:t>1.</w:t>
            </w:r>
          </w:p>
        </w:tc>
        <w:tc>
          <w:tcPr>
            <w:tcW w:type="dxa" w:w="4680"/>
            <w:shd w:fill="F5F8FA"/>
          </w:tcPr>
          <w:p>
            <w:pPr>
              <w:spacing w:before="60" w:after="60"/>
            </w:pPr>
            <w:hyperlink r:id="rId10">
              <w:r>
                <w:rPr>
                  <w:color w:val="004B87"/>
                  <w:u w:val="single"/>
                </w:rPr>
                <w:t xml:space="preserve">Regulations for Students enrolled from July 2019 onwards</w:t>
              </w:r>
            </w:hyperlink>
            <w:r>
              <w:rPr>
                <w:rFonts w:ascii="Calibri" w:hAnsi="Calibri"/>
                <w:sz w:val="19"/>
              </w:rPr>
              <w:t xml:space="preserve"> ( Download file: 536 KB)</w:t>
            </w:r>
          </w:p>
        </w:tc>
      </w:tr>
    </w:tbl>
    <w:p>
      <w:pPr>
        <w:spacing w:before="0" w:after="120"/>
      </w:pPr>
    </w:p>
    <w:p>
      <w:pPr>
        <w:spacing w:before="0" w:after="100" w:line="276" w:lineRule="auto"/>
      </w:pPr>
      <w:r>
        <w:rPr>
          <w:rFonts w:ascii="Calibri" w:hAnsi="Calibri"/>
          <w:sz w:val="20"/>
        </w:rPr>
        <w:t>| | 1.1</w:t>
      </w:r>
      <w:hyperlink r:id="rId11">
        <w:r>
          <w:rPr>
            <w:color w:val="004B87"/>
            <w:u w:val="single"/>
          </w:rPr>
          <w:t xml:space="preserve">Amendment – Revised Norms for Continuation of Program/Assistantship and graduation requirements for M.Tech./M.Tech.-Ph.D. and Ph.D. students registered from 2019 onwards</w:t>
        </w:r>
      </w:hyperlink>
      <w:r>
        <w:rPr>
          <w:rFonts w:ascii="Calibri" w:hAnsi="Calibri"/>
          <w:sz w:val="20"/>
        </w:rPr>
        <w:t xml:space="preserve"> ( Download file: 536 KB)</w:t>
      </w:r>
    </w:p>
    <w:p>
      <w:pPr>
        <w:spacing w:before="0" w:after="100" w:line="276" w:lineRule="auto"/>
      </w:pPr>
      <w:r>
        <w:rPr>
          <w:rFonts w:ascii="Calibri" w:hAnsi="Calibri"/>
          <w:sz w:val="20"/>
        </w:rPr>
        <w:t xml:space="preserve">| 2. | </w:t>
      </w:r>
      <w:hyperlink r:id="rId11">
        <w:r>
          <w:rPr>
            <w:color w:val="004B87"/>
            <w:u w:val="single"/>
          </w:rPr>
          <w:t xml:space="preserve">Regulations for Students enrolled from July 2020 onwards</w:t>
        </w:r>
      </w:hyperlink>
      <w:r>
        <w:rPr>
          <w:rFonts w:ascii="Calibri" w:hAnsi="Calibri"/>
          <w:sz w:val="20"/>
        </w:rPr>
        <w:t xml:space="preserve"> ( Download file: 536 KB)</w:t>
      </w:r>
    </w:p>
    <w:p>
      <w:pPr>
        <w:spacing w:before="0" w:after="100" w:line="276" w:lineRule="auto"/>
      </w:pPr>
      <w:r>
        <w:rPr>
          <w:rFonts w:ascii="Calibri" w:hAnsi="Calibri"/>
          <w:sz w:val="20"/>
        </w:rPr>
        <w:t xml:space="preserve">| 3. | </w:t>
      </w:r>
      <w:hyperlink r:id="rId12">
        <w:r>
          <w:rPr>
            <w:color w:val="004B87"/>
            <w:u w:val="single"/>
          </w:rPr>
          <w:t xml:space="preserve">Regulations for Students enrolled from July 2021 onwards</w:t>
        </w:r>
      </w:hyperlink>
      <w:r>
        <w:rPr>
          <w:rFonts w:ascii="Calibri" w:hAnsi="Calibri"/>
          <w:sz w:val="20"/>
        </w:rPr>
        <w:t xml:space="preserve"> ( Download file: 536 KB)</w:t>
      </w:r>
    </w:p>
    <w:p>
      <w:pPr>
        <w:spacing w:before="0" w:after="100" w:line="276" w:lineRule="auto"/>
      </w:pPr>
      <w:r>
        <w:rPr>
          <w:rFonts w:ascii="Calibri" w:hAnsi="Calibri"/>
          <w:sz w:val="20"/>
        </w:rPr>
        <w:t>| | 3.1</w:t>
      </w:r>
      <w:hyperlink r:id="rId13">
        <w:r>
          <w:rPr>
            <w:color w:val="004B87"/>
            <w:u w:val="single"/>
          </w:rPr>
          <w:t xml:space="preserve">Amendment – Revised Norms for Continuation of Program/Assistantship and graduation requirements for M.Tech./M.Tech.-Ph.D. and Ph.D. students registered from 2019 onwards</w:t>
        </w:r>
      </w:hyperlink>
      <w:r>
        <w:rPr>
          <w:rFonts w:ascii="Calibri" w:hAnsi="Calibri"/>
          <w:sz w:val="20"/>
        </w:rPr>
        <w:t xml:space="preserve"> ( Download file: 280 KB)</w:t>
      </w:r>
    </w:p>
    <w:p>
      <w:pPr>
        <w:spacing w:before="0" w:after="100" w:line="276" w:lineRule="auto"/>
      </w:pPr>
      <w:r>
        <w:rPr>
          <w:rFonts w:ascii="Calibri" w:hAnsi="Calibri"/>
          <w:sz w:val="20"/>
        </w:rPr>
        <w:t xml:space="preserve">| 4. | </w:t>
      </w:r>
      <w:hyperlink r:id="rId14">
        <w:r>
          <w:rPr>
            <w:color w:val="004B87"/>
            <w:u w:val="single"/>
          </w:rPr>
          <w:t xml:space="preserve">Regulations for Students enrolled from July 2022 onwards</w:t>
        </w:r>
      </w:hyperlink>
      <w:r>
        <w:rPr>
          <w:rFonts w:ascii="Calibri" w:hAnsi="Calibri"/>
          <w:sz w:val="20"/>
        </w:rPr>
        <w:t xml:space="preserve"> ( Download file: 441 KB) (Post Graduate Programmes)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003366"/>
          </w:tcPr>
          <w:p>
            <w:pPr>
              <w:spacing w:before="60" w:after="60"/>
            </w:pPr>
            <w:r>
              <w:rPr>
                <w:rFonts w:ascii="Calibri" w:hAnsi="Calibri"/>
                <w:color w:val="FFFFFF"/>
                <w:sz w:val="19"/>
              </w:rPr>
              <w:t>5.</w:t>
            </w:r>
          </w:p>
        </w:tc>
        <w:tc>
          <w:tcPr>
            <w:tcW w:type="dxa" w:w="4680"/>
            <w:shd w:fill="003366"/>
          </w:tcPr>
          <w:p>
            <w:pPr>
              <w:spacing w:before="60" w:after="60"/>
            </w:pPr>
            <w:hyperlink r:id="rId15">
              <w:r>
                <w:rPr>
                  <w:color w:val="004B87"/>
                  <w:u w:val="single"/>
                </w:rPr>
                <w:t xml:space="preserve">Regulations for Joint Programmes in Medical Technologies</w:t>
              </w:r>
            </w:hyperlink>
          </w:p>
        </w:tc>
      </w:tr>
      <w:tr>
        <w:tc>
          <w:tcPr>
            <w:tcW w:type="dxa" w:w="4680"/>
            <w:shd w:fill="F5F8FA"/>
          </w:tcPr>
          <w:p>
            <w:pPr>
              <w:spacing w:before="60" w:after="60"/>
            </w:pPr>
            <w:r>
              <w:rPr>
                <w:rFonts w:ascii="Calibri" w:hAnsi="Calibri"/>
                <w:sz w:val="19"/>
              </w:rPr>
              <w:t>6.</w:t>
            </w:r>
          </w:p>
        </w:tc>
        <w:tc>
          <w:tcPr>
            <w:tcW w:type="dxa" w:w="4680"/>
            <w:shd w:fill="F5F8FA"/>
          </w:tcPr>
          <w:p>
            <w:pPr>
              <w:spacing w:before="60" w:after="60"/>
            </w:pPr>
            <w:hyperlink r:id="rId16">
              <w:r>
                <w:rPr>
                  <w:color w:val="004B87"/>
                  <w:u w:val="single"/>
                </w:rPr>
                <w:t xml:space="preserve">M.S. by Research Regulations for Students enrolled from July 2023 onwards</w:t>
              </w:r>
            </w:hyperlink>
            <w:r>
              <w:rPr>
                <w:rFonts w:ascii="Calibri" w:hAnsi="Calibri"/>
                <w:sz w:val="19"/>
              </w:rPr>
              <w:t xml:space="preserve"> ( Download file)</w:t>
            </w:r>
          </w:p>
        </w:tc>
      </w:tr>
    </w:tbl>
    <w:p>
      <w:pPr>
        <w:spacing w:before="0" w:after="120"/>
      </w:pPr>
    </w:p>
    <w:p>
      <w:pPr>
        <w:spacing w:before="0" w:after="100" w:line="276" w:lineRule="auto"/>
      </w:pPr>
      <w:r>
        <w:rPr>
          <w:rFonts w:ascii="Calibri" w:hAnsi="Calibri"/>
          <w:sz w:val="20"/>
        </w:rPr>
        <w:t>| 7. | Amendments applicable for all students from Semester I Academic Year 2024-25</w:t>
      </w:r>
    </w:p>
    <w:p>
      <w:pPr>
        <w:pStyle w:val="ListNumber"/>
        <w:spacing w:before="20" w:after="40"/>
      </w:pPr>
      <w:hyperlink r:id="rId17">
        <w:r>
          <w:rPr>
            <w:color w:val="004B87"/>
            <w:u w:val="single"/>
          </w:rPr>
          <w:t xml:space="preserve">Amendment in the Attendance Policy of the Institute</w:t>
        </w:r>
      </w:hyperlink>
      <w:r>
        <w:rPr>
          <w:rFonts w:ascii="Calibri" w:hAnsi="Calibri"/>
          <w:sz w:val="20"/>
        </w:rPr>
        <w:t xml:space="preserve"> ( Download file)</w:t>
      </w:r>
    </w:p>
    <w:p>
      <w:pPr>
        <w:pStyle w:val="ListNumber"/>
        <w:spacing w:before="20" w:after="40"/>
      </w:pPr>
      <w:hyperlink r:id="rId18">
        <w:r>
          <w:rPr>
            <w:color w:val="004B87"/>
            <w:u w:val="single"/>
          </w:rPr>
          <w:t xml:space="preserve">Amendment in the Examination Policy of the Institute</w:t>
        </w:r>
      </w:hyperlink>
      <w:r>
        <w:rPr>
          <w:rFonts w:ascii="Calibri" w:hAnsi="Calibri"/>
          <w:sz w:val="20"/>
        </w:rPr>
        <w:t xml:space="preserve"> ( Download file) |</w:t>
      </w:r>
    </w:p>
    <w:p>
      <w:pPr>
        <w:spacing w:before="0" w:after="100" w:line="276" w:lineRule="auto"/>
      </w:pPr>
      <w:hyperlink r:id="rId19">
        <w:r>
          <w:rPr>
            <w:color w:val="004B87"/>
            <w:u w:val="single"/>
          </w:rPr>
          <w:t xml:space="preserve">Rules &amp; Regulations (For Students enrolled from July 2019 onwards)</w:t>
        </w:r>
      </w:hyperlink>
      <w:r>
        <w:rPr>
          <w:rFonts w:ascii="Calibri" w:hAnsi="Calibri"/>
          <w:sz w:val="20"/>
        </w:rPr>
        <w:t xml:space="preserve"> ( Download file)</w:t>
      </w:r>
    </w:p>
    <w:p>
      <w:pPr>
        <w:spacing w:before="0" w:after="100" w:line="276" w:lineRule="auto"/>
      </w:pPr>
      <w:hyperlink r:id="rId20">
        <w:r>
          <w:rPr>
            <w:color w:val="004B87"/>
            <w:u w:val="single"/>
          </w:rPr>
          <w:t xml:space="preserve">Amendment – Revised Norms for Continuation of Program/Assistantship and graduation requirements for M.Tech./M.Tech.-Ph.D. and Ph.D. students registered from 2019 onwards</w:t>
        </w:r>
      </w:hyperlink>
      <w:r>
        <w:rPr>
          <w:rFonts w:ascii="Calibri" w:hAnsi="Calibri"/>
          <w:sz w:val="20"/>
        </w:rPr>
        <w:t xml:space="preserve"> ( Download file)</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21">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22">
        <w:r>
          <w:rPr>
            <w:color w:val="004B87"/>
            <w:u w:val="single"/>
          </w:rPr>
          <w:t xml:space="preserve">https://www.iitj.ac.in/office-of-academics/en/academic-regulations#top15.%20Leave%20Rules</w:t>
        </w:r>
      </w:hyperlink>
    </w:p>
    <w:p>
      <w:pPr>
        <w:pStyle w:val="ListBullet"/>
        <w:spacing w:before="20" w:after="40"/>
      </w:pPr>
      <w:r>
        <w:rPr>
          <w:rFonts w:ascii="Calibri" w:hAnsi="Calibri"/>
          <w:sz w:val="20"/>
        </w:rPr>
        <w:t xml:space="preserve">Authoritative Source URL: </w:t>
      </w:r>
      <w:hyperlink r:id="rId23">
        <w:r>
          <w:rPr>
            <w:color w:val="004B87"/>
            <w:u w:val="single"/>
          </w:rPr>
          <w:t xml:space="preserve">https://www.iitj.ac.in/office-of-academics/en/academic-regulations#top25.%20Rules%20and%20Regulations%20For%20M.Tech./M.Sc._Project</w:t>
        </w:r>
      </w:hyperlink>
    </w:p>
    <w:p>
      <w:pPr>
        <w:pStyle w:val="ListBullet"/>
        <w:spacing w:before="20" w:after="40"/>
      </w:pPr>
      <w:r>
        <w:rPr>
          <w:rFonts w:ascii="Calibri" w:hAnsi="Calibri"/>
          <w:sz w:val="20"/>
        </w:rPr>
        <w:t xml:space="preserve">Authoritative Source URL: </w:t>
      </w:r>
      <w:hyperlink r:id="rId24">
        <w:r>
          <w:rPr>
            <w:color w:val="004B87"/>
            <w:u w:val="single"/>
          </w:rPr>
          <w:t xml:space="preserve">https://www.iitj.ac.in/office-of-academics/en/academic-regulations#top23.%20Leave%20Rules</w:t>
        </w:r>
      </w:hyperlink>
    </w:p>
    <w:p>
      <w:pPr>
        <w:pStyle w:val="ListBullet"/>
        <w:spacing w:before="20" w:after="40"/>
      </w:pPr>
      <w:r>
        <w:rPr>
          <w:rFonts w:ascii="Calibri" w:hAnsi="Calibri"/>
          <w:sz w:val="20"/>
        </w:rPr>
        <w:t xml:space="preserve">Authoritative Source URL: </w:t>
      </w:r>
      <w:hyperlink r:id="rId25">
        <w:r>
          <w:rPr>
            <w:color w:val="004B87"/>
            <w:u w:val="single"/>
          </w:rPr>
          <w:t xml:space="preserve">https://www.iitj.ac.in/office-of-academics/en/academic-regulations#top12.3%20Exceptions%20to%20Regular%20Rules%20regarding%20Academic%20Load</w:t>
        </w:r>
      </w:hyperlink>
    </w:p>
    <w:p>
      <w:pPr>
        <w:pStyle w:val="ListBullet"/>
        <w:spacing w:before="20" w:after="40"/>
      </w:pPr>
      <w:r>
        <w:rPr>
          <w:rFonts w:ascii="Calibri" w:hAnsi="Calibri"/>
          <w:sz w:val="20"/>
        </w:rPr>
        <w:t xml:space="preserve">Authoritative Source URL: </w:t>
      </w:r>
      <w:hyperlink r:id="rId26">
        <w:r>
          <w:rPr>
            <w:color w:val="004B87"/>
            <w:u w:val="single"/>
          </w:rPr>
          <w:t xml:space="preserve">https://www.iitj.ac.in/office-of-academics/en/academic-regulations#top18.%20Amendments</w:t>
        </w:r>
      </w:hyperlink>
    </w:p>
    <w:p>
      <w:pPr>
        <w:pStyle w:val="ListBullet"/>
        <w:spacing w:before="20" w:after="40"/>
      </w:pPr>
      <w:r>
        <w:rPr>
          <w:rFonts w:ascii="Calibri" w:hAnsi="Calibri"/>
          <w:sz w:val="20"/>
        </w:rPr>
        <w:t xml:space="preserve">Authoritative Source URL: </w:t>
      </w:r>
      <w:hyperlink r:id="rId27">
        <w:r>
          <w:rPr>
            <w:color w:val="004B87"/>
            <w:u w:val="single"/>
          </w:rPr>
          <w:t xml:space="preserve">https://www.iitj.ac.in/office-of-academics/en/academic-regulations#top10.2%20Reservation%20Policy</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https://www.iitj.ac.in/Office-of-Academics/en/Old-Regulations</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https://www.iitj.ac.in/PageImages/Gallery/03-2025/1_Academic_Regulations_Final_03_09_2019.pdf</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https://www.iitj.ac.in/PageImages/Gallery/03-2025/2_Academic_Regulations_Final_03_09_2019.pdf</w:t>
        </w:r>
      </w:hyperlink>
    </w:p>
    <w:p>
      <w:pPr>
        <w:pStyle w:val="ListBullet"/>
        <w:spacing w:before="20" w:after="40"/>
      </w:pPr>
      <w:r>
        <w:rPr>
          <w:rFonts w:ascii="Calibri" w:hAnsi="Calibri"/>
          <w:sz w:val="20"/>
        </w:rPr>
        <w:t xml:space="preserve">Authoritative Source URL: </w:t>
      </w:r>
      <w:hyperlink r:id="rId28">
        <w:r>
          <w:rPr>
            <w:color w:val="004B87"/>
            <w:u w:val="single"/>
          </w:rPr>
          <w:t xml:space="preserve">https://www.iitj.ac.in/PageImages/Gallery/03-2025/2.1_notification_26102020.pdf</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https://www.iitj.ac.in/PageImages/Gallery/03-2025/3_Academic_Regulations_Final_03_09_2019.pdf</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https://www.iitj.ac.in/PageImages/Gallery/03-2025/3.1_notification_26102020.pdf</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https://www.iitj.ac.in/PageImages/Gallery/03-2025/4_Regulation_PG_2022-onwards_20022023.pdf</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https://www.iitj.ac.in/PageImages/Gallery/03-2025/5_Circular_IITJ_OA_C_2021-22_21_122_20.01.2022.pdf</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https://www.iitj.ac.in/PageImages/Gallery/03-2025/6_2024-04-17-661f605b54457-1713332315.pdf</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https://www.iitj.ac.in/PageImages/Gallery/03-2025/7.1_Circular_51Circular-No.-IITJOAACircular2024-2551682-dated-08-July-2024.pdf</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https://www.iitj.ac.in/PageImages/Gallery/03-2025/7.2_Circular_52Circular-No.-IITJOAACircular2024-2552683-dated-08-July-2024.pdf</w:t>
        </w:r>
      </w:hyperlink>
    </w:p>
    <w:p>
      <w:pPr>
        <w:pStyle w:val="ListBullet"/>
        <w:spacing w:before="20" w:after="40"/>
      </w:pPr>
      <w:r>
        <w:rPr>
          <w:rFonts w:ascii="Calibri" w:hAnsi="Calibri"/>
          <w:sz w:val="20"/>
        </w:rPr>
        <w:t xml:space="preserve">Authoritative Source URL: </w:t>
      </w:r>
      <w:hyperlink r:id="rId20">
        <w:r>
          <w:rPr>
            <w:color w:val="004B87"/>
            <w:u w:val="single"/>
          </w:rPr>
          <w:t xml:space="preserve">https://www.iitj.ac.in/PageImages/Gallery/03-2025/amend_notification_26102020.pdf</w:t>
        </w:r>
      </w:hyperlink>
    </w:p>
    <w:p>
      <w:pPr>
        <w:pStyle w:val="ListBullet"/>
        <w:spacing w:before="20" w:after="40"/>
      </w:pPr>
      <w:r>
        <w:rPr>
          <w:rFonts w:ascii="Calibri" w:hAnsi="Calibri"/>
          <w:sz w:val="20"/>
        </w:rPr>
        <w:t xml:space="preserve">Authoritative Source URL: </w:t>
      </w:r>
      <w:hyperlink r:id="rId29">
        <w:r>
          <w:rPr>
            <w:color w:val="004B87"/>
            <w:u w:val="single"/>
          </w:rPr>
          <w:t xml:space="preserve">https://www.iitj.ac.in/materials-engineering/en/regulations</w:t>
        </w:r>
      </w:hyperlink>
    </w:p>
    <w:p>
      <w:pPr>
        <w:pStyle w:val="ListBullet"/>
        <w:spacing w:before="20" w:after="40"/>
      </w:pPr>
      <w:r>
        <w:rPr>
          <w:rFonts w:ascii="Calibri" w:hAnsi="Calibri"/>
          <w:sz w:val="20"/>
        </w:rPr>
        <w:t xml:space="preserve">Traceable Knowledge Units: </w:t>
      </w:r>
      <w:r>
        <w:rPr>
          <w:rFonts w:ascii="Consolas" w:hAnsi="Consolas"/>
          <w:color w:val="333333"/>
          <w:sz w:val="19"/>
        </w:rPr>
        <w:t>04593c4b92fb8687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Office-of-Academics/en/Old-Regulations" TargetMode="External"/><Relationship Id="rId10" Type="http://schemas.openxmlformats.org/officeDocument/2006/relationships/hyperlink" Target="https://www.iitj.ac.in/PageImages/Gallery/03-2025/1_Academic_Regulations_Final_03_09_2019.pdf" TargetMode="External"/><Relationship Id="rId11" Type="http://schemas.openxmlformats.org/officeDocument/2006/relationships/hyperlink" Target="https://www.iitj.ac.in/PageImages/Gallery/03-2025/2_Academic_Regulations_Final_03_09_2019.pdf" TargetMode="External"/><Relationship Id="rId12" Type="http://schemas.openxmlformats.org/officeDocument/2006/relationships/hyperlink" Target="https://www.iitj.ac.in/PageImages/Gallery/03-2025/3_Academic_Regulations_Final_03_09_2019.pdf" TargetMode="External"/><Relationship Id="rId13" Type="http://schemas.openxmlformats.org/officeDocument/2006/relationships/hyperlink" Target="https://www.iitj.ac.in/PageImages/Gallery/03-2025/3.1_notification_26102020.pdf" TargetMode="External"/><Relationship Id="rId14" Type="http://schemas.openxmlformats.org/officeDocument/2006/relationships/hyperlink" Target="https://www.iitj.ac.in/PageImages/Gallery/03-2025/4_Regulation_PG_2022-onwards_20022023.pdf" TargetMode="External"/><Relationship Id="rId15" Type="http://schemas.openxmlformats.org/officeDocument/2006/relationships/hyperlink" Target="https://www.iitj.ac.in/PageImages/Gallery/03-2025/5_Circular_IITJ_OA_C_2021-22_21_122_20.01.2022.pdf" TargetMode="External"/><Relationship Id="rId16" Type="http://schemas.openxmlformats.org/officeDocument/2006/relationships/hyperlink" Target="https://www.iitj.ac.in/PageImages/Gallery/03-2025/6_2024-04-17-661f605b54457-1713332315.pdf" TargetMode="External"/><Relationship Id="rId17" Type="http://schemas.openxmlformats.org/officeDocument/2006/relationships/hyperlink" Target="https://www.iitj.ac.in/PageImages/Gallery/03-2025/7.1_Circular_51Circular-No.-IITJOAACircular2024-2551682-dated-08-July-2024.pdf" TargetMode="External"/><Relationship Id="rId18" Type="http://schemas.openxmlformats.org/officeDocument/2006/relationships/hyperlink" Target="https://www.iitj.ac.in/PageImages/Gallery/03-2025/7.2_Circular_52Circular-No.-IITJOAACircular2024-2552683-dated-08-July-2024.pdf" TargetMode="External"/><Relationship Id="rId19" Type="http://schemas.openxmlformats.org/officeDocument/2006/relationships/hyperlink" Target="http://172.16.100.168:8080/jspui/handle/123456789/671" TargetMode="External"/><Relationship Id="rId20" Type="http://schemas.openxmlformats.org/officeDocument/2006/relationships/hyperlink" Target="https://www.iitj.ac.in/PageImages/Gallery/03-2025/amend_notification_26102020.pdf" TargetMode="External"/><Relationship Id="rId21" Type="http://schemas.openxmlformats.org/officeDocument/2006/relationships/hyperlink" Target="https://iitj.ac.in/" TargetMode="External"/><Relationship Id="rId22" Type="http://schemas.openxmlformats.org/officeDocument/2006/relationships/hyperlink" Target="https://www.iitj.ac.in/office-of-academics/en/academic-regulations#top15.%2520Leave%2520Rules" TargetMode="External"/><Relationship Id="rId23" Type="http://schemas.openxmlformats.org/officeDocument/2006/relationships/hyperlink" Target="https://www.iitj.ac.in/office-of-academics/en/academic-regulations#top25.%2520Rules%2520and%2520Regulations%2520For%2520M.Tech./M.Sc._Project" TargetMode="External"/><Relationship Id="rId24" Type="http://schemas.openxmlformats.org/officeDocument/2006/relationships/hyperlink" Target="https://www.iitj.ac.in/office-of-academics/en/academic-regulations#top23.%2520Leave%2520Rules" TargetMode="External"/><Relationship Id="rId25" Type="http://schemas.openxmlformats.org/officeDocument/2006/relationships/hyperlink" Target="https://www.iitj.ac.in/office-of-academics/en/academic-regulations#top12.3%2520Exceptions%2520to%2520Regular%2520Rules%2520regarding%2520Academic%2520Load" TargetMode="External"/><Relationship Id="rId26" Type="http://schemas.openxmlformats.org/officeDocument/2006/relationships/hyperlink" Target="https://www.iitj.ac.in/office-of-academics/en/academic-regulations#top18.%2520Amendments" TargetMode="External"/><Relationship Id="rId27" Type="http://schemas.openxmlformats.org/officeDocument/2006/relationships/hyperlink" Target="https://www.iitj.ac.in/office-of-academics/en/academic-regulations#top10.2%2520Reservation%2520Policy" TargetMode="External"/><Relationship Id="rId28" Type="http://schemas.openxmlformats.org/officeDocument/2006/relationships/hyperlink" Target="https://www.iitj.ac.in/PageImages/Gallery/03-2025/2.1_notification_26102020.pdf" TargetMode="External"/><Relationship Id="rId29" Type="http://schemas.openxmlformats.org/officeDocument/2006/relationships/hyperlink" Target="https://www.iitj.ac.in/materials-engineering/en/reg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