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3366"/>
          <w:sz w:val="40"/>
        </w:rPr>
        <w:t>Office of Research and Development — General Information</w:t>
      </w:r>
    </w:p>
    <w:p>
      <w:pPr>
        <w:spacing w:before="0" w:after="280"/>
      </w:pPr>
      <w:r>
        <w:rPr>
          <w:rFonts w:ascii="Calibri" w:hAnsi="Calibri"/>
          <w:i/>
          <w:color w:val="666666"/>
          <w:sz w:val="20"/>
        </w:rPr>
        <w:t>Indian Institute of Technology Jodhpur  |  Category: offices_and_administration/office_of_research_and_development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Authoritative institutional knowledge for Office of Research and Development — General Information at Indian Institute of Technology Jodhpur.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Institute Lecture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Dr. Dinesh Kumar Aswal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Member, NDMA, New Delhi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Canonical Institution: </w:t>
      </w:r>
      <w:hyperlink r:id="rId9">
        <w:r>
          <w:rPr>
            <w:color w:val="004B87"/>
            <w:u w:val="single"/>
          </w:rPr>
          <w:t xml:space="preserve">Indian Institute of Technology Jodhpur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0">
        <w:r>
          <w:rPr>
            <w:color w:val="004B87"/>
            <w:u w:val="single"/>
          </w:rPr>
          <w:t xml:space="preserve">https://www.iitj.ac.in/office-of-research-development/en/office-of-research-and-development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Traceable Knowledge Units: </w:t>
      </w:r>
      <w:r>
        <w:rPr>
          <w:rFonts w:ascii="Consolas" w:hAnsi="Consolas"/>
          <w:color w:val="333333"/>
          <w:sz w:val="19"/>
        </w:rPr>
        <w:t>11fc1622703fdf13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itj.ac.in/" TargetMode="External"/><Relationship Id="rId10" Type="http://schemas.openxmlformats.org/officeDocument/2006/relationships/hyperlink" Target="https://www.iitj.ac.in/office-of-research-development/en/office-of-research-and-develop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