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40"/>
        </w:rPr>
        <w:t>B.Tech — Academic Progression</w:t>
      </w:r>
    </w:p>
    <w:p>
      <w:pPr>
        <w:spacing w:before="0" w:after="280"/>
      </w:pPr>
      <w:r>
        <w:rPr>
          <w:rFonts w:ascii="Calibri" w:hAnsi="Calibri"/>
          <w:i/>
          <w:color w:val="666666"/>
          <w:sz w:val="20"/>
        </w:rPr>
        <w:t>Indian Institute of Technology Jodhpur  |  Category: programs/btech</w:t>
      </w:r>
    </w:p>
    <w:p>
      <w:pPr>
        <w:keepNext/>
        <w:spacing w:before="280" w:after="80"/>
      </w:pPr>
      <w:r>
        <w:rPr>
          <w:rFonts w:ascii="Calibri" w:hAnsi="Calibri"/>
          <w:color w:val="003366"/>
          <w:sz w:val="26"/>
        </w:rPr>
        <w:t>Scope</w:t>
      </w:r>
    </w:p>
    <w:p>
      <w:pPr>
        <w:spacing w:before="0" w:after="100" w:line="276" w:lineRule="auto"/>
      </w:pPr>
      <w:r>
        <w:rPr>
          <w:rFonts w:ascii="Calibri" w:hAnsi="Calibri"/>
          <w:sz w:val="20"/>
        </w:rPr>
        <w:t>Authoritative institutional knowledge for B.Tech — Academic Progression at Indian Institute of Technology Jodhpur.</w:t>
      </w:r>
    </w:p>
    <w:p>
      <w:pPr>
        <w:keepNext/>
        <w:spacing w:before="280" w:after="80"/>
      </w:pPr>
      <w:r>
        <w:rPr>
          <w:rFonts w:ascii="Calibri" w:hAnsi="Calibri"/>
          <w:color w:val="003366"/>
          <w:sz w:val="26"/>
        </w:rPr>
        <w:t>*Discontinuation of Branch Change from Academic Year 2026–27 in UG Programs.</w:t>
      </w:r>
    </w:p>
    <w:p>
      <w:pPr>
        <w:spacing w:before="0" w:after="100" w:line="276" w:lineRule="auto"/>
      </w:pPr>
      <w:hyperlink r:id="rId9">
        <w:r>
          <w:rPr>
            <w:color w:val="004B87"/>
            <w:u w:val="single"/>
          </w:rPr>
          <w:t xml:space="preserve">Click here for the branch change rules applicable to UG students admitted in academic year 2025-2026</w:t>
        </w:r>
      </w:hyperlink>
    </w:p>
    <w:p>
      <w:pPr>
        <w:spacing w:before="0" w:after="100" w:line="276" w:lineRule="auto"/>
      </w:pPr>
      <w:r>
        <w:rPr>
          <w:rFonts w:ascii="Calibri" w:hAnsi="Calibri"/>
          <w:b/>
          <w:sz w:val="20"/>
        </w:rPr>
        <w:t>Where to find course structure for different programs?</w:t>
      </w:r>
    </w:p>
    <w:p>
      <w:pPr>
        <w:spacing w:before="0" w:after="100" w:line="276" w:lineRule="auto"/>
      </w:pPr>
      <w:r>
        <w:rPr>
          <w:rFonts w:ascii="Calibri" w:hAnsi="Calibri"/>
          <w:sz w:val="20"/>
        </w:rPr>
        <w:t xml:space="preserve">You can find the </w:t>
      </w:r>
      <w:hyperlink r:id="rId10">
        <w:r>
          <w:rPr>
            <w:color w:val="004B87"/>
            <w:u w:val="single"/>
          </w:rPr>
          <w:t xml:space="preserve">curriculum</w:t>
        </w:r>
      </w:hyperlink>
      <w:r>
        <w:rPr>
          <w:rFonts w:ascii="Calibri" w:hAnsi="Calibri"/>
          <w:sz w:val="20"/>
        </w:rPr>
        <w:t xml:space="preserve"> and </w:t>
      </w:r>
      <w:hyperlink r:id="rId11">
        <w:r>
          <w:rPr>
            <w:color w:val="004B87"/>
            <w:u w:val="single"/>
          </w:rPr>
          <w:t xml:space="preserve">course structure</w:t>
        </w:r>
      </w:hyperlink>
      <w:r>
        <w:rPr>
          <w:rFonts w:ascii="Calibri" w:hAnsi="Calibri"/>
          <w:sz w:val="20"/>
        </w:rPr>
        <w:t xml:space="preserve"> of different programs offered by the Institute at their respective pages as below.</w:t>
      </w:r>
    </w:p>
    <w:p>
      <w:pPr>
        <w:spacing w:before="0" w:after="100" w:line="276" w:lineRule="auto"/>
      </w:pPr>
      <w:hyperlink r:id="rId12">
        <w:r>
          <w:rPr>
            <w:color w:val="004B87"/>
            <w:u w:val="single"/>
          </w:rPr>
          <w:t xml:space="preserve">* Bioscience &amp; Bio Engineering</w:t>
        </w:r>
      </w:hyperlink>
    </w:p>
    <w:p>
      <w:pPr>
        <w:spacing w:before="0" w:after="100" w:line="276" w:lineRule="auto"/>
      </w:pPr>
      <w:hyperlink r:id="rId13">
        <w:r>
          <w:rPr>
            <w:color w:val="004B87"/>
            <w:u w:val="single"/>
          </w:rPr>
          <w:t xml:space="preserve">* Computer Science &amp; Engineering</w:t>
        </w:r>
      </w:hyperlink>
    </w:p>
    <w:p>
      <w:pPr>
        <w:spacing w:before="0" w:after="100" w:line="276" w:lineRule="auto"/>
      </w:pPr>
      <w:hyperlink r:id="rId14">
        <w:r>
          <w:rPr>
            <w:color w:val="004B87"/>
            <w:u w:val="single"/>
          </w:rPr>
          <w:t xml:space="preserve">* Electrical Engineering</w:t>
        </w:r>
      </w:hyperlink>
    </w:p>
    <w:p>
      <w:pPr>
        <w:spacing w:before="0" w:after="100" w:line="276" w:lineRule="auto"/>
      </w:pPr>
      <w:hyperlink r:id="rId15">
        <w:r>
          <w:rPr>
            <w:color w:val="004B87"/>
            <w:u w:val="single"/>
          </w:rPr>
          <w:t xml:space="preserve">* Mechanical Engineering</w:t>
        </w:r>
      </w:hyperlink>
    </w:p>
    <w:p>
      <w:pPr>
        <w:spacing w:before="0" w:after="100" w:line="276" w:lineRule="auto"/>
      </w:pPr>
      <w:hyperlink r:id="rId13">
        <w:r>
          <w:rPr>
            <w:color w:val="004B87"/>
            <w:u w:val="single"/>
          </w:rPr>
          <w:t xml:space="preserve">* AI and Data Science</w:t>
        </w:r>
      </w:hyperlink>
    </w:p>
    <w:p>
      <w:pPr>
        <w:spacing w:before="0" w:after="100" w:line="276" w:lineRule="auto"/>
      </w:pPr>
      <w:hyperlink r:id="rId16">
        <w:r>
          <w:rPr>
            <w:color w:val="004B87"/>
            <w:u w:val="single"/>
          </w:rPr>
          <w:t xml:space="preserve">* Chemical Engineering</w:t>
        </w:r>
      </w:hyperlink>
    </w:p>
    <w:p>
      <w:pPr>
        <w:spacing w:before="0" w:after="100" w:line="276" w:lineRule="auto"/>
      </w:pPr>
      <w:hyperlink r:id="rId17">
        <w:r>
          <w:rPr>
            <w:color w:val="004B87"/>
            <w:u w:val="single"/>
          </w:rPr>
          <w:t xml:space="preserve">* Materials Engineering</w:t>
        </w:r>
      </w:hyperlink>
    </w:p>
    <w:p>
      <w:pPr>
        <w:spacing w:before="0" w:after="100" w:line="276" w:lineRule="auto"/>
      </w:pPr>
      <w:hyperlink r:id="rId18">
        <w:r>
          <w:rPr>
            <w:color w:val="004B87"/>
            <w:u w:val="single"/>
          </w:rPr>
          <w:t xml:space="preserve">* Civil and Infrastructure Engineering</w:t>
        </w:r>
      </w:hyperlink>
    </w:p>
    <w:p>
      <w:pPr>
        <w:spacing w:before="0" w:after="100" w:line="276" w:lineRule="auto"/>
      </w:pPr>
      <w:r>
        <w:rPr>
          <w:rFonts w:ascii="Calibri" w:hAnsi="Calibri"/>
          <w:b/>
          <w:sz w:val="20"/>
        </w:rPr>
        <w:t>Where to find course structure for different programs?</w:t>
      </w:r>
    </w:p>
    <w:p>
      <w:pPr>
        <w:spacing w:before="0" w:after="100" w:line="276" w:lineRule="auto"/>
      </w:pPr>
      <w:r>
        <w:rPr>
          <w:rFonts w:ascii="Calibri" w:hAnsi="Calibri"/>
          <w:sz w:val="20"/>
        </w:rPr>
        <w:t>The academic session normally runs from the end of July in one year to the middle of July in the next year. The academic session is divided into three parts: two regular semesters and a summer term as per the following timelines:</w:t>
      </w:r>
    </w:p>
    <w:p>
      <w:pPr>
        <w:spacing w:before="0" w:after="100" w:line="276" w:lineRule="auto"/>
      </w:pPr>
      <w:r>
        <w:rPr>
          <w:rFonts w:ascii="Calibri" w:hAnsi="Calibri"/>
          <w:sz w:val="20"/>
        </w:rPr>
        <w:t>Semester I: From the fourth week of July to the last week of November</w:t>
      </w:r>
    </w:p>
    <w:p>
      <w:pPr>
        <w:spacing w:before="0" w:after="100" w:line="276" w:lineRule="auto"/>
      </w:pPr>
      <w:r>
        <w:rPr>
          <w:rFonts w:ascii="Calibri" w:hAnsi="Calibri"/>
          <w:sz w:val="20"/>
        </w:rPr>
        <w:t>Semester II: From the last week of December to the last week of April</w:t>
      </w:r>
    </w:p>
    <w:p>
      <w:pPr>
        <w:spacing w:before="0" w:after="100" w:line="276" w:lineRule="auto"/>
      </w:pPr>
      <w:r>
        <w:rPr>
          <w:rFonts w:ascii="Calibri" w:hAnsi="Calibri"/>
          <w:sz w:val="20"/>
        </w:rPr>
        <w:t>Summer Term: From the middle of May to the middle of July.</w:t>
      </w:r>
    </w:p>
    <w:p>
      <w:pPr>
        <w:spacing w:before="0" w:after="100" w:line="276" w:lineRule="auto"/>
      </w:pPr>
      <w:r>
        <w:rPr>
          <w:rFonts w:ascii="Calibri" w:hAnsi="Calibri"/>
          <w:sz w:val="20"/>
        </w:rPr>
        <w:t>Excluding the days of the examinations, the total number of days of instruction in a semester is at least 70.</w:t>
      </w:r>
    </w:p>
    <w:p>
      <w:pPr>
        <w:spacing w:before="0" w:after="100" w:line="276" w:lineRule="auto"/>
      </w:pPr>
      <w:r>
        <w:rPr>
          <w:rFonts w:ascii="Calibri" w:hAnsi="Calibri"/>
          <w:sz w:val="20"/>
        </w:rPr>
        <w:t xml:space="preserve">The </w:t>
      </w:r>
      <w:hyperlink r:id="rId19">
        <w:r>
          <w:rPr>
            <w:color w:val="004B87"/>
            <w:u w:val="single"/>
          </w:rPr>
          <w:t xml:space="preserve">Academic Calendar</w:t>
        </w:r>
      </w:hyperlink>
      <w:r>
        <w:rPr>
          <w:rFonts w:ascii="Calibri" w:hAnsi="Calibri"/>
          <w:sz w:val="20"/>
        </w:rPr>
        <w:t xml:space="preserve"> gives the exact dates of all important events during the Academic Session, such as orientation, registration, commencement of classes, adding and dropping of courses, submission of documents, examinations, submission of grades, conversion of Incomplete grades, vacation, and mid-semester recess. This calendar is approved by the Senate of the Institute and displayed in the Institute website much before the commencement of the academic semester.</w:t>
      </w:r>
    </w:p>
    <w:p>
      <w:pPr>
        <w:spacing w:before="0" w:after="100" w:line="276" w:lineRule="auto"/>
      </w:pPr>
      <w:r>
        <w:rPr>
          <w:rFonts w:ascii="Calibri" w:hAnsi="Calibri"/>
          <w:b/>
          <w:sz w:val="20"/>
        </w:rPr>
        <w:t>What is Branch Change rules for UG students?</w:t>
      </w:r>
    </w:p>
    <w:p>
      <w:pPr>
        <w:spacing w:before="0" w:after="100" w:line="276" w:lineRule="auto"/>
      </w:pPr>
      <w:r>
        <w:rPr>
          <w:rFonts w:ascii="Calibri" w:hAnsi="Calibri"/>
          <w:sz w:val="20"/>
        </w:rPr>
        <w:t>The branch change of the student in another branch and engineering science is permitted after the completion of the 1st year after completing all academic requirements of the credits including non-graded courses. The eligibility criteria of the branch change is as follows:</w:t>
      </w:r>
    </w:p>
    <w:p>
      <w:pPr>
        <w:pStyle w:val="ListNumber"/>
        <w:spacing w:before="20" w:after="40"/>
      </w:pPr>
      <w:r>
        <w:rPr>
          <w:rFonts w:ascii="Calibri" w:hAnsi="Calibri"/>
          <w:sz w:val="20"/>
        </w:rPr>
        <w:t>E1: The student must have completed all prescribed course credits for the previous semesters (including the non-graded courses).</w:t>
      </w:r>
    </w:p>
    <w:p>
      <w:pPr>
        <w:pStyle w:val="ListNumber"/>
        <w:spacing w:before="20" w:after="40"/>
      </w:pPr>
      <w:r>
        <w:rPr>
          <w:rFonts w:ascii="Calibri" w:hAnsi="Calibri"/>
          <w:sz w:val="20"/>
        </w:rPr>
        <w:t>E2: The student has no backlog.</w:t>
      </w:r>
    </w:p>
    <w:p>
      <w:pPr>
        <w:pStyle w:val="ListNumber"/>
        <w:spacing w:before="20" w:after="40"/>
      </w:pPr>
      <w:r>
        <w:rPr>
          <w:rFonts w:ascii="Calibri" w:hAnsi="Calibri"/>
          <w:sz w:val="20"/>
        </w:rPr>
        <w:t>E3: No disciplinary Action has been imposed on the student.</w:t>
      </w:r>
    </w:p>
    <w:p>
      <w:pPr>
        <w:spacing w:before="0" w:after="100" w:line="276" w:lineRule="auto"/>
      </w:pPr>
      <w:r>
        <w:rPr>
          <w:rFonts w:ascii="Calibri" w:hAnsi="Calibri"/>
          <w:sz w:val="20"/>
        </w:rPr>
        <w:t>Table: Summary of branch change criteria for students in UG (B.Tech./ B.S.) Programs</w:t>
      </w:r>
    </w:p>
    <w:p>
      <w:pPr>
        <w:spacing w:before="0" w:after="100" w:line="276" w:lineRule="auto"/>
      </w:pPr>
      <w:r>
        <w:rPr>
          <w:rFonts w:ascii="Calibri" w:hAnsi="Calibri"/>
          <w:sz w:val="20"/>
        </w:rPr>
        <w:t>| II | Any | Any | CGPA ≥ 8.5 Others</w:t>
      </w:r>
    </w:p>
    <w:p>
      <w:pPr>
        <w:spacing w:before="0" w:after="100" w:line="276" w:lineRule="auto"/>
      </w:pPr>
      <w:r>
        <w:rPr>
          <w:rFonts w:ascii="Calibri" w:hAnsi="Calibri"/>
          <w:sz w:val="20"/>
        </w:rPr>
        <w:t>CGPA ≥ 7.5 (For SC,ST, PWD) | E1</w:t>
      </w:r>
    </w:p>
    <w:p>
      <w:pPr>
        <w:spacing w:before="0" w:after="100" w:line="276" w:lineRule="auto"/>
      </w:pPr>
      <w:r>
        <w:rPr>
          <w:rFonts w:ascii="Calibri" w:hAnsi="Calibri"/>
          <w:sz w:val="20"/>
        </w:rPr>
        <w:t>E2</w:t>
      </w:r>
    </w:p>
    <w:p>
      <w:pPr>
        <w:spacing w:before="0" w:after="100" w:line="276" w:lineRule="auto"/>
      </w:pPr>
      <w:r>
        <w:rPr>
          <w:rFonts w:ascii="Calibri" w:hAnsi="Calibri"/>
          <w:sz w:val="20"/>
        </w:rPr>
        <w:t>E3 | 90% of current Strength | 110% of Sanctioned Strength |</w:t>
      </w:r>
    </w:p>
    <w:p>
      <w:pPr>
        <w:spacing w:before="0" w:after="100" w:line="276" w:lineRule="auto"/>
      </w:pPr>
      <w:r>
        <w:rPr>
          <w:rFonts w:ascii="Calibri" w:hAnsi="Calibri"/>
          <w:sz w:val="20"/>
        </w:rPr>
        <w:t>| II | Any | ES | CGPA ≥ 8 Others</w:t>
      </w:r>
    </w:p>
    <w:p>
      <w:pPr>
        <w:spacing w:before="0" w:after="100" w:line="276" w:lineRule="auto"/>
      </w:pPr>
      <w:r>
        <w:rPr>
          <w:rFonts w:ascii="Calibri" w:hAnsi="Calibri"/>
          <w:sz w:val="20"/>
        </w:rPr>
        <w:t>CGPA ≥ 7 (For SC,ST, PWD) | E1</w:t>
      </w:r>
    </w:p>
    <w:p>
      <w:pPr>
        <w:spacing w:before="0" w:after="100" w:line="276" w:lineRule="auto"/>
      </w:pPr>
      <w:r>
        <w:rPr>
          <w:rFonts w:ascii="Calibri" w:hAnsi="Calibri"/>
          <w:sz w:val="20"/>
        </w:rPr>
        <w:t>E2</w:t>
      </w:r>
    </w:p>
    <w:p>
      <w:pPr>
        <w:spacing w:before="0" w:after="100" w:line="276" w:lineRule="auto"/>
      </w:pPr>
      <w:r>
        <w:rPr>
          <w:rFonts w:ascii="Calibri" w:hAnsi="Calibri"/>
          <w:sz w:val="20"/>
        </w:rPr>
        <w:t>E3 | 90% of current Strength | 30 |</w:t>
      </w:r>
    </w:p>
    <w:p>
      <w:pPr>
        <w:spacing w:before="0" w:after="100" w:line="276" w:lineRule="auto"/>
      </w:pPr>
      <w:r>
        <w:rPr>
          <w:rFonts w:ascii="Calibri" w:hAnsi="Calibri"/>
          <w:b/>
          <w:sz w:val="20"/>
        </w:rPr>
        <w:t>Note:</w:t>
      </w:r>
      <w:r>
        <w:rPr>
          <w:rFonts w:ascii="Calibri" w:hAnsi="Calibri"/>
          <w:sz w:val="20"/>
        </w:rPr>
        <w:t xml:space="preserve"> 1. No Branch Change post second year onwards.</w:t>
      </w:r>
    </w:p>
    <w:p>
      <w:pPr>
        <w:pStyle w:val="ListNumber"/>
        <w:spacing w:before="20" w:after="40"/>
      </w:pPr>
      <w:r>
        <w:rPr>
          <w:rFonts w:ascii="Calibri" w:hAnsi="Calibri"/>
          <w:sz w:val="20"/>
        </w:rPr>
        <w:t>This will be applicable to UG Students admitted in academic year 2025-26.</w:t>
      </w:r>
    </w:p>
    <w:p>
      <w:pPr>
        <w:pStyle w:val="ListNumber"/>
        <w:spacing w:before="20" w:after="40"/>
      </w:pPr>
      <w:r>
        <w:rPr>
          <w:rFonts w:ascii="Calibri" w:hAnsi="Calibri"/>
          <w:sz w:val="20"/>
        </w:rPr>
        <w:t>If the calculated upper limit of permissible strength is a fractional number, the upper limit for seats will be the lower rounded number (floor operation).</w:t>
      </w:r>
    </w:p>
    <w:p>
      <w:pPr>
        <w:pStyle w:val="ListNumber"/>
        <w:spacing w:before="20" w:after="40"/>
      </w:pPr>
      <w:r>
        <w:rPr>
          <w:rFonts w:ascii="Calibri" w:hAnsi="Calibri"/>
          <w:sz w:val="20"/>
        </w:rPr>
        <w:t>If the calculated lower limit of permissible strength is a fractional number, the lower limit for seats will be the higher rounded number (ceil operation).</w:t>
      </w:r>
    </w:p>
    <w:p>
      <w:pPr>
        <w:keepNext/>
        <w:spacing w:before="280" w:after="80"/>
      </w:pPr>
      <w:r>
        <w:rPr>
          <w:rFonts w:ascii="Calibri" w:hAnsi="Calibri"/>
          <w:color w:val="003366"/>
          <w:sz w:val="26"/>
        </w:rPr>
        <w:t>Official Sources and Provenance</w:t>
      </w:r>
    </w:p>
    <w:p>
      <w:pPr>
        <w:pStyle w:val="ListBullet"/>
        <w:spacing w:before="20" w:after="40"/>
      </w:pPr>
      <w:r>
        <w:rPr>
          <w:rFonts w:ascii="Calibri" w:hAnsi="Calibri"/>
          <w:sz w:val="20"/>
        </w:rPr>
        <w:t xml:space="preserve">Canonical Institution: </w:t>
      </w:r>
      <w:hyperlink r:id="rId20">
        <w:r>
          <w:rPr>
            <w:color w:val="004B87"/>
            <w:u w:val="single"/>
          </w:rPr>
          <w:t xml:space="preserve">Indian Institute of Technology Jodhpur</w:t>
        </w:r>
      </w:hyperlink>
    </w:p>
    <w:p>
      <w:pPr>
        <w:pStyle w:val="ListBullet"/>
        <w:spacing w:before="20" w:after="40"/>
      </w:pPr>
      <w:r>
        <w:rPr>
          <w:rFonts w:ascii="Calibri" w:hAnsi="Calibri"/>
          <w:sz w:val="20"/>
        </w:rPr>
        <w:t xml:space="preserve">Authoritative Source URL: </w:t>
      </w:r>
      <w:hyperlink r:id="rId9">
        <w:r>
          <w:rPr>
            <w:color w:val="004B87"/>
            <w:u w:val="single"/>
          </w:rPr>
          <w:t xml:space="preserve">https://iitj.ac.in/office-of-academics/en/Academic-Regulations#16.%20Branch%20Change</w:t>
        </w:r>
      </w:hyperlink>
    </w:p>
    <w:p>
      <w:pPr>
        <w:pStyle w:val="ListBullet"/>
        <w:spacing w:before="20" w:after="40"/>
      </w:pPr>
      <w:r>
        <w:rPr>
          <w:rFonts w:ascii="Calibri" w:hAnsi="Calibri"/>
          <w:sz w:val="20"/>
        </w:rPr>
        <w:t xml:space="preserve">Authoritative Source URL: </w:t>
      </w:r>
      <w:hyperlink r:id="rId10">
        <w:r>
          <w:rPr>
            <w:color w:val="004B87"/>
            <w:u w:val="single"/>
          </w:rPr>
          <w:t xml:space="preserve">https://www.iitj.ac.in/office-of-academics/en/curriculum</w:t>
        </w:r>
      </w:hyperlink>
    </w:p>
    <w:p>
      <w:pPr>
        <w:pStyle w:val="ListBullet"/>
        <w:spacing w:before="20" w:after="40"/>
      </w:pPr>
      <w:r>
        <w:rPr>
          <w:rFonts w:ascii="Calibri" w:hAnsi="Calibri"/>
          <w:sz w:val="20"/>
        </w:rPr>
        <w:t xml:space="preserve">Authoritative Source URL: </w:t>
      </w:r>
      <w:hyperlink r:id="rId11">
        <w:r>
          <w:rPr>
            <w:color w:val="004B87"/>
            <w:u w:val="single"/>
          </w:rPr>
          <w:t xml:space="preserve">https://www.iitj.ac.in/office-of-academics/en/program-structure</w:t>
        </w:r>
      </w:hyperlink>
    </w:p>
    <w:p>
      <w:pPr>
        <w:pStyle w:val="ListBullet"/>
        <w:spacing w:before="20" w:after="40"/>
      </w:pPr>
      <w:r>
        <w:rPr>
          <w:rFonts w:ascii="Calibri" w:hAnsi="Calibri"/>
          <w:sz w:val="20"/>
        </w:rPr>
        <w:t xml:space="preserve">Authoritative Source URL: </w:t>
      </w:r>
      <w:hyperlink r:id="rId12">
        <w:r>
          <w:rPr>
            <w:color w:val="004B87"/>
            <w:u w:val="single"/>
          </w:rPr>
          <w:t xml:space="preserve">https://www.iitj.ac.in/bioscience-bioengineering/en/undergraduate-program</w:t>
        </w:r>
      </w:hyperlink>
    </w:p>
    <w:p>
      <w:pPr>
        <w:pStyle w:val="ListBullet"/>
        <w:spacing w:before="20" w:after="40"/>
      </w:pPr>
      <w:r>
        <w:rPr>
          <w:rFonts w:ascii="Calibri" w:hAnsi="Calibri"/>
          <w:sz w:val="20"/>
        </w:rPr>
        <w:t xml:space="preserve">Authoritative Source URL: </w:t>
      </w:r>
      <w:hyperlink r:id="rId13">
        <w:r>
          <w:rPr>
            <w:color w:val="004B87"/>
            <w:u w:val="single"/>
          </w:rPr>
          <w:t xml:space="preserve">https://www.iitj.ac.in/computer-science-engineering/en/undergraduate-programs</w:t>
        </w:r>
      </w:hyperlink>
    </w:p>
    <w:p>
      <w:pPr>
        <w:pStyle w:val="ListBullet"/>
        <w:spacing w:before="20" w:after="40"/>
      </w:pPr>
      <w:r>
        <w:rPr>
          <w:rFonts w:ascii="Calibri" w:hAnsi="Calibri"/>
          <w:sz w:val="20"/>
        </w:rPr>
        <w:t xml:space="preserve">Authoritative Source URL: </w:t>
      </w:r>
      <w:hyperlink r:id="rId14">
        <w:r>
          <w:rPr>
            <w:color w:val="004B87"/>
            <w:u w:val="single"/>
          </w:rPr>
          <w:t xml:space="preserve">https://www.iitj.ac.in/electrical-engineering/en/undergraduate-program</w:t>
        </w:r>
      </w:hyperlink>
    </w:p>
    <w:p>
      <w:pPr>
        <w:pStyle w:val="ListBullet"/>
        <w:spacing w:before="20" w:after="40"/>
      </w:pPr>
      <w:r>
        <w:rPr>
          <w:rFonts w:ascii="Calibri" w:hAnsi="Calibri"/>
          <w:sz w:val="20"/>
        </w:rPr>
        <w:t xml:space="preserve">Authoritative Source URL: </w:t>
      </w:r>
      <w:hyperlink r:id="rId15">
        <w:r>
          <w:rPr>
            <w:color w:val="004B87"/>
            <w:u w:val="single"/>
          </w:rPr>
          <w:t xml:space="preserve">https://www.iitj.ac.in/mechanical-engineering/en/undergraduate-program</w:t>
        </w:r>
      </w:hyperlink>
    </w:p>
    <w:p>
      <w:pPr>
        <w:pStyle w:val="ListBullet"/>
        <w:spacing w:before="20" w:after="40"/>
      </w:pPr>
      <w:r>
        <w:rPr>
          <w:rFonts w:ascii="Calibri" w:hAnsi="Calibri"/>
          <w:sz w:val="20"/>
        </w:rPr>
        <w:t xml:space="preserve">Authoritative Source URL: </w:t>
      </w:r>
      <w:hyperlink r:id="rId16">
        <w:r>
          <w:rPr>
            <w:color w:val="004B87"/>
            <w:u w:val="single"/>
          </w:rPr>
          <w:t xml:space="preserve">https://www.iitj.ac.in/chemical-engineering/en/undergraduate-program</w:t>
        </w:r>
      </w:hyperlink>
    </w:p>
    <w:p>
      <w:pPr>
        <w:pStyle w:val="ListBullet"/>
        <w:spacing w:before="20" w:after="40"/>
      </w:pPr>
      <w:r>
        <w:rPr>
          <w:rFonts w:ascii="Calibri" w:hAnsi="Calibri"/>
          <w:sz w:val="20"/>
        </w:rPr>
        <w:t xml:space="preserve">Authoritative Source URL: </w:t>
      </w:r>
      <w:hyperlink r:id="rId17">
        <w:r>
          <w:rPr>
            <w:color w:val="004B87"/>
            <w:u w:val="single"/>
          </w:rPr>
          <w:t xml:space="preserve">https://www.iitj.ac.in/metallurgical-and-materials-engineering/en/undergraduate-program</w:t>
        </w:r>
      </w:hyperlink>
    </w:p>
    <w:p>
      <w:pPr>
        <w:pStyle w:val="ListBullet"/>
        <w:spacing w:before="20" w:after="40"/>
      </w:pPr>
      <w:r>
        <w:rPr>
          <w:rFonts w:ascii="Calibri" w:hAnsi="Calibri"/>
          <w:sz w:val="20"/>
        </w:rPr>
        <w:t xml:space="preserve">Authoritative Source URL: </w:t>
      </w:r>
      <w:hyperlink r:id="rId18">
        <w:r>
          <w:rPr>
            <w:color w:val="004B87"/>
            <w:u w:val="single"/>
          </w:rPr>
          <w:t xml:space="preserve">https://www.iitj.ac.in/civil-and-infrastructure-engineering/en/btech</w:t>
        </w:r>
      </w:hyperlink>
    </w:p>
    <w:p>
      <w:pPr>
        <w:pStyle w:val="ListBullet"/>
        <w:spacing w:before="20" w:after="40"/>
      </w:pPr>
      <w:r>
        <w:rPr>
          <w:rFonts w:ascii="Calibri" w:hAnsi="Calibri"/>
          <w:sz w:val="20"/>
        </w:rPr>
        <w:t xml:space="preserve">Authoritative Source URL: </w:t>
      </w:r>
      <w:hyperlink r:id="rId19">
        <w:r>
          <w:rPr>
            <w:color w:val="004B87"/>
            <w:u w:val="single"/>
          </w:rPr>
          <w:t xml:space="preserve">https://www.iitj.ac.in/office-of-academics/en/academic-calendar</w:t>
        </w:r>
      </w:hyperlink>
    </w:p>
    <w:p>
      <w:pPr>
        <w:pStyle w:val="ListBullet"/>
        <w:spacing w:before="20" w:after="40"/>
      </w:pPr>
      <w:r>
        <w:rPr>
          <w:rFonts w:ascii="Calibri" w:hAnsi="Calibri"/>
          <w:sz w:val="20"/>
        </w:rPr>
        <w:t xml:space="preserve">Authoritative Source URL: </w:t>
      </w:r>
      <w:hyperlink r:id="rId21">
        <w:r>
          <w:rPr>
            <w:color w:val="004B87"/>
            <w:u w:val="single"/>
          </w:rPr>
          <w:t xml:space="preserve">https://www.iitj.ac.in/bachelor-of-technology/en/registration-academic-session</w:t>
        </w:r>
      </w:hyperlink>
    </w:p>
    <w:p>
      <w:pPr>
        <w:pStyle w:val="ListBullet"/>
        <w:spacing w:before="20" w:after="40"/>
      </w:pPr>
      <w:r>
        <w:rPr>
          <w:rFonts w:ascii="Calibri" w:hAnsi="Calibri"/>
          <w:sz w:val="20"/>
        </w:rPr>
        <w:t xml:space="preserve">Traceable Knowledge Units: </w:t>
      </w:r>
      <w:r>
        <w:rPr>
          <w:rFonts w:ascii="Consolas" w:hAnsi="Consolas"/>
          <w:color w:val="333333"/>
          <w:sz w:val="19"/>
        </w:rPr>
        <w:t>f87eb8259544256a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itj.ac.in/office-of-academics/en/Academic-Regulations#16.%2520Branch%2520Change" TargetMode="External"/><Relationship Id="rId10" Type="http://schemas.openxmlformats.org/officeDocument/2006/relationships/hyperlink" Target="https://www.iitj.ac.in/office-of-academics/en/curriculum" TargetMode="External"/><Relationship Id="rId11" Type="http://schemas.openxmlformats.org/officeDocument/2006/relationships/hyperlink" Target="https://www.iitj.ac.in/office-of-academics/en/program-structure" TargetMode="External"/><Relationship Id="rId12" Type="http://schemas.openxmlformats.org/officeDocument/2006/relationships/hyperlink" Target="https://www.iitj.ac.in/bioscience-bioengineering/en/undergraduate-program" TargetMode="External"/><Relationship Id="rId13" Type="http://schemas.openxmlformats.org/officeDocument/2006/relationships/hyperlink" Target="https://www.iitj.ac.in/computer-science-engineering/en/undergraduate-programs" TargetMode="External"/><Relationship Id="rId14" Type="http://schemas.openxmlformats.org/officeDocument/2006/relationships/hyperlink" Target="https://www.iitj.ac.in/electrical-engineering/en/undergraduate-program" TargetMode="External"/><Relationship Id="rId15" Type="http://schemas.openxmlformats.org/officeDocument/2006/relationships/hyperlink" Target="https://www.iitj.ac.in/mechanical-engineering/en/undergraduate-program" TargetMode="External"/><Relationship Id="rId16" Type="http://schemas.openxmlformats.org/officeDocument/2006/relationships/hyperlink" Target="https://www.iitj.ac.in/chemical-engineering/en/undergraduate-program" TargetMode="External"/><Relationship Id="rId17" Type="http://schemas.openxmlformats.org/officeDocument/2006/relationships/hyperlink" Target="https://www.iitj.ac.in/metallurgical-and-materials-engineering/en/undergraduate-program" TargetMode="External"/><Relationship Id="rId18" Type="http://schemas.openxmlformats.org/officeDocument/2006/relationships/hyperlink" Target="https://www.iitj.ac.in/civil-and-infrastructure-engineering/en/btech" TargetMode="External"/><Relationship Id="rId19" Type="http://schemas.openxmlformats.org/officeDocument/2006/relationships/hyperlink" Target="https://www.iitj.ac.in/office-of-academics/en/academic-calendar" TargetMode="External"/><Relationship Id="rId20" Type="http://schemas.openxmlformats.org/officeDocument/2006/relationships/hyperlink" Target="https://iitj.ac.in/" TargetMode="External"/><Relationship Id="rId21" Type="http://schemas.openxmlformats.org/officeDocument/2006/relationships/hyperlink" Target="https://www.iitj.ac.in/bachelor-of-technology/en/registration-academic-s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