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Integrated Teacher Education Programme (ITEP)</w:t>
      </w:r>
    </w:p>
    <w:p>
      <w:pPr>
        <w:spacing w:before="0" w:after="280"/>
      </w:pPr>
      <w:r>
        <w:rPr>
          <w:rFonts w:ascii="Calibri" w:hAnsi="Calibri"/>
          <w:i/>
          <w:color w:val="666666"/>
          <w:sz w:val="20"/>
        </w:rPr>
        <w:t>Indian Institute of Technology Jodhpur  |  Category: programs/itep</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Integrated Teacher Education Programme (ITEP) at Indian Institute of Technology Jodhpur.</w:t>
      </w:r>
    </w:p>
    <w:p>
      <w:pPr>
        <w:keepNext/>
        <w:spacing w:before="280" w:after="80"/>
      </w:pPr>
      <w:r>
        <w:rPr>
          <w:rFonts w:ascii="Calibri" w:hAnsi="Calibri"/>
          <w:color w:val="003366"/>
          <w:sz w:val="26"/>
        </w:rPr>
        <w:t>Programme Overview</w:t>
      </w:r>
    </w:p>
    <w:p>
      <w:pPr>
        <w:spacing w:before="0" w:after="100" w:line="276" w:lineRule="auto"/>
      </w:pPr>
      <w:r>
        <w:rPr>
          <w:rFonts w:ascii="Calibri" w:hAnsi="Calibri"/>
          <w:sz w:val="20"/>
        </w:rPr>
        <w:t>The Integrated Teacher Education Programme (ITEP), as envisioned by the National Education Policy 2020, offers a unique opportunity for the IIT ecosystem to directly contribute to shaping future educators. IIT Jodhpur offers the 4-year dual-major ITEP (BSc-BEd) for the Secondary Stage with Majors in Physics, Chemistry, and Mathematics.</w:t>
      </w:r>
    </w:p>
    <w:p>
      <w:pPr>
        <w:spacing w:before="0" w:after="100" w:line="276" w:lineRule="auto"/>
      </w:pPr>
      <w:r>
        <w:rPr>
          <w:rFonts w:ascii="Calibri" w:hAnsi="Calibri"/>
          <w:sz w:val="20"/>
        </w:rPr>
        <w:t>The Secondary Stage (classes IX to XII) represents a critical point of transition between school and higher education. The programme addresses key challenges including retaining students in the school system, streaming according to innate potential, and preparing students with necessary technological exposure for future academic choices.</w:t>
      </w:r>
    </w:p>
    <w:p>
      <w:pPr>
        <w:keepNext/>
        <w:spacing w:before="280" w:after="80"/>
      </w:pPr>
      <w:r>
        <w:rPr>
          <w:rFonts w:ascii="Calibri" w:hAnsi="Calibri"/>
          <w:color w:val="003366"/>
          <w:sz w:val="26"/>
        </w:rPr>
        <w:t>The Jodhpur Model of Teacher Education</w:t>
      </w:r>
    </w:p>
    <w:p>
      <w:pPr>
        <w:spacing w:before="0" w:after="100" w:line="276" w:lineRule="auto"/>
      </w:pPr>
      <w:r>
        <w:rPr>
          <w:rFonts w:ascii="Calibri" w:hAnsi="Calibri"/>
          <w:sz w:val="20"/>
        </w:rPr>
        <w:t>The Jodhpur Model of Teacher Education envisions all-round development of Graduate Teachers who possess:</w:t>
      </w:r>
    </w:p>
    <w:p>
      <w:pPr>
        <w:pStyle w:val="ListBullet"/>
        <w:spacing w:before="20" w:after="40"/>
      </w:pPr>
      <w:r>
        <w:rPr>
          <w:rFonts w:ascii="Calibri" w:hAnsi="Calibri"/>
          <w:sz w:val="20"/>
        </w:rPr>
        <w:t>Strong technological, pedagogical, and content knowledge (TPACK)</w:t>
      </w:r>
    </w:p>
    <w:p>
      <w:pPr>
        <w:pStyle w:val="ListBullet"/>
        <w:spacing w:before="20" w:after="40"/>
      </w:pPr>
      <w:r>
        <w:rPr>
          <w:rFonts w:ascii="Calibri" w:hAnsi="Calibri"/>
          <w:sz w:val="20"/>
        </w:rPr>
        <w:t>Motivation for self-improvement and self-organization</w:t>
      </w:r>
    </w:p>
    <w:p>
      <w:pPr>
        <w:pStyle w:val="ListBullet"/>
        <w:spacing w:before="20" w:after="40"/>
      </w:pPr>
      <w:r>
        <w:rPr>
          <w:rFonts w:ascii="Calibri" w:hAnsi="Calibri"/>
          <w:sz w:val="20"/>
        </w:rPr>
        <w:t>Commitment to constitutional values and fundamental duties</w:t>
      </w:r>
    </w:p>
    <w:p>
      <w:pPr>
        <w:pStyle w:val="ListBullet"/>
        <w:spacing w:before="20" w:after="40"/>
      </w:pPr>
      <w:r>
        <w:rPr>
          <w:rFonts w:ascii="Calibri" w:hAnsi="Calibri"/>
          <w:sz w:val="20"/>
        </w:rPr>
        <w:t>Strong ethics, values, and dedication to lifelong learning</w:t>
      </w:r>
    </w:p>
    <w:p>
      <w:pPr>
        <w:pStyle w:val="ListBullet"/>
        <w:spacing w:before="20" w:after="40"/>
      </w:pPr>
      <w:r>
        <w:rPr>
          <w:rFonts w:ascii="Calibri" w:hAnsi="Calibri"/>
          <w:sz w:val="20"/>
        </w:rPr>
        <w:t>Passion and drive for innovation in teaching STEM disciplines</w:t>
      </w:r>
    </w:p>
    <w:p>
      <w:pPr>
        <w:pStyle w:val="ListBullet"/>
        <w:spacing w:before="20" w:after="40"/>
      </w:pPr>
      <w:r>
        <w:rPr>
          <w:rFonts w:ascii="Calibri" w:hAnsi="Calibri"/>
          <w:sz w:val="20"/>
        </w:rPr>
        <w:t>Effective communication skills and empathy for student well-being</w:t>
      </w:r>
    </w:p>
    <w:p>
      <w:pPr>
        <w:keepNext/>
        <w:spacing w:before="280" w:after="80"/>
      </w:pPr>
      <w:r>
        <w:rPr>
          <w:rFonts w:ascii="Calibri" w:hAnsi="Calibri"/>
          <w:color w:val="003366"/>
          <w:sz w:val="26"/>
        </w:rPr>
        <w:t>Director's Perspective on Educational Transformation</w:t>
      </w:r>
    </w:p>
    <w:p>
      <w:pPr>
        <w:spacing w:before="0" w:after="100" w:line="276" w:lineRule="auto"/>
      </w:pPr>
      <w:r>
        <w:rPr>
          <w:rFonts w:ascii="Calibri" w:hAnsi="Calibri"/>
          <w:sz w:val="20"/>
        </w:rPr>
        <w:t>A primary challenge for school education is addressing the shortfall of qualified STEM teachers across India. The ITEP curriculum bridges rich Indian civilizational values with futuristic potential offered by emerging technologies, empowering secondary-stage educators to foster creative problem-solving.</w:t>
      </w:r>
    </w:p>
    <w:p>
      <w:pPr>
        <w:keepNext/>
        <w:spacing w:before="280" w:after="80"/>
      </w:pPr>
      <w:r>
        <w:rPr>
          <w:rFonts w:ascii="Calibri" w:hAnsi="Calibri"/>
          <w:color w:val="003366"/>
          <w:sz w:val="26"/>
        </w:rPr>
        <w:t>Admissions and Selection</w:t>
      </w:r>
    </w:p>
    <w:p>
      <w:pPr>
        <w:pStyle w:val="ListBullet"/>
        <w:spacing w:before="20" w:after="40"/>
      </w:pPr>
      <w:r>
        <w:rPr>
          <w:rFonts w:ascii="Calibri" w:hAnsi="Calibri"/>
          <w:sz w:val="20"/>
        </w:rPr>
        <w:t>Admission to ITEP is conducted through the National Common Entrance Test (NCET) administered by the National Testing Agency (NTA).</w:t>
      </w:r>
    </w:p>
    <w:p>
      <w:pPr>
        <w:pStyle w:val="ListBullet"/>
        <w:spacing w:before="20" w:after="40"/>
      </w:pPr>
      <w:r>
        <w:rPr>
          <w:rFonts w:ascii="Calibri" w:hAnsi="Calibri"/>
          <w:sz w:val="20"/>
        </w:rPr>
        <w:t>Qualified candidates register through the IIT Jodhpur ERP admission portal.</w:t>
      </w:r>
    </w:p>
    <w:p>
      <w:pPr>
        <w:pStyle w:val="ListBullet"/>
        <w:spacing w:before="20" w:after="40"/>
      </w:pPr>
      <w:r>
        <w:rPr>
          <w:rFonts w:ascii="Calibri" w:hAnsi="Calibri"/>
          <w:sz w:val="20"/>
        </w:rPr>
        <w:t>Admissions feature multi-round provisional shortlists and discipline-wise waitlists.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https://www.iitj.ac.in/itep</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https://iitj.ac.in/itep/en/admissions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6059c7a2d40d4605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itep" TargetMode="External"/><Relationship Id="rId11" Type="http://schemas.openxmlformats.org/officeDocument/2006/relationships/hyperlink" Target="https://iitj.ac.in/itep/en/ad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