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M.S. by Research — Programs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programs/ms_by_research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M.S. by Research — Programs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Program Features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Opportunities for collaborative projects across disciplines.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Practice-based outputs, including new art forms and entrepreneurial ventures.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Focus on inclusivity and livelihood generation for disenfranchised artisans.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Flexible coursework and simultaneous research options tailored to student interests.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Program Structure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1.) Eligibility: Bachelor's (B.Tech. or equivalent, 4 years) or Master's (M.A./M.Sc., 5 years) with a strong academic record.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2.) Duration: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Full-time: 2–4 years.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Part-time: 3–5 years.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3.) Credits: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Coursework: 24 credits.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Thesis: 36 credits.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4.) Course Flexibility: Students customize coursework from advanced courses across disciplines, guided by the ADI Research Committee.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https://www.iitj.ac.in/centre-of-excellence-on-arts-and-digital-immersion/en/m.s.-by-research-program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1acc8842abd6740d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centre-of-excellence-on-arts-and-digital-immersion/en/m.s.-by-research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