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M.S. by Research — Research</w:t>
      </w:r>
    </w:p>
    <w:p>
      <w:pPr>
        <w:spacing w:before="0" w:after="280"/>
      </w:pPr>
      <w:r>
        <w:rPr>
          <w:rFonts w:ascii="Calibri" w:hAnsi="Calibri"/>
          <w:i/>
          <w:color w:val="666666"/>
          <w:sz w:val="20"/>
        </w:rPr>
        <w:t>Indian Institute of Technology Jodhpur  |  Category: programs/ms_by_research</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M.S. by Research — Research at Indian Institute of Technology Jodhpur.</w:t>
      </w:r>
    </w:p>
    <w:p>
      <w:pPr>
        <w:keepNext/>
        <w:spacing w:before="280" w:after="80"/>
      </w:pPr>
      <w:r>
        <w:rPr>
          <w:rFonts w:ascii="Calibri" w:hAnsi="Calibri"/>
          <w:color w:val="003366"/>
          <w:sz w:val="26"/>
        </w:rPr>
        <w:t>MS by Research Programs</w:t>
      </w:r>
    </w:p>
    <w:p>
      <w:pPr>
        <w:pStyle w:val="ListBullet"/>
        <w:spacing w:before="20" w:after="40"/>
      </w:pPr>
      <w:r>
        <w:rPr>
          <w:rFonts w:ascii="Calibri" w:hAnsi="Calibri"/>
          <w:sz w:val="20"/>
        </w:rPr>
        <w:t>M.S. by Research</w:t>
      </w:r>
    </w:p>
    <w:p>
      <w:pPr>
        <w:spacing w:before="0" w:after="100" w:line="276" w:lineRule="auto"/>
      </w:pPr>
      <w:r>
        <w:rPr>
          <w:rFonts w:ascii="Calibri" w:hAnsi="Calibri"/>
          <w:sz w:val="20"/>
        </w:rPr>
        <w:t>(Next Generation AI )</w:t>
      </w:r>
    </w:p>
    <w:p>
      <w:pPr>
        <w:pStyle w:val="ListBullet"/>
        <w:spacing w:before="20" w:after="40"/>
      </w:pPr>
      <w:r>
        <w:rPr>
          <w:rFonts w:ascii="Calibri" w:hAnsi="Calibri"/>
          <w:sz w:val="20"/>
        </w:rPr>
        <w:t>M.S. by Research</w:t>
      </w:r>
    </w:p>
    <w:p>
      <w:pPr>
        <w:spacing w:before="0" w:after="100" w:line="276" w:lineRule="auto"/>
      </w:pPr>
      <w:r>
        <w:rPr>
          <w:rFonts w:ascii="Calibri" w:hAnsi="Calibri"/>
          <w:sz w:val="20"/>
        </w:rPr>
        <w:t>(Computational Economics)</w:t>
      </w:r>
    </w:p>
    <w:p>
      <w:pPr>
        <w:pStyle w:val="ListBullet"/>
        <w:spacing w:before="20" w:after="40"/>
      </w:pPr>
      <w:r>
        <w:rPr>
          <w:rFonts w:ascii="Calibri" w:hAnsi="Calibri"/>
          <w:sz w:val="20"/>
        </w:rPr>
        <w:t>M.S. by Research</w:t>
      </w:r>
    </w:p>
    <w:p>
      <w:pPr>
        <w:spacing w:before="0" w:after="100" w:line="276" w:lineRule="auto"/>
      </w:pPr>
      <w:r>
        <w:rPr>
          <w:rFonts w:ascii="Calibri" w:hAnsi="Calibri"/>
          <w:sz w:val="20"/>
        </w:rPr>
        <w:t>(Intelligent Infrastructure)</w:t>
      </w:r>
    </w:p>
    <w:p>
      <w:pPr>
        <w:pStyle w:val="ListBullet"/>
        <w:spacing w:before="20" w:after="40"/>
      </w:pPr>
      <w:r>
        <w:rPr>
          <w:rFonts w:ascii="Calibri" w:hAnsi="Calibri"/>
          <w:sz w:val="20"/>
        </w:rPr>
        <w:t>M.S. by Research</w:t>
      </w:r>
    </w:p>
    <w:p>
      <w:pPr>
        <w:spacing w:before="0" w:after="100" w:line="276" w:lineRule="auto"/>
      </w:pPr>
      <w:r>
        <w:rPr>
          <w:rFonts w:ascii="Calibri" w:hAnsi="Calibri"/>
          <w:sz w:val="20"/>
        </w:rPr>
        <w:t>(Precision Health &amp; Integrative Medicine)</w:t>
      </w:r>
    </w:p>
    <w:p>
      <w:pPr>
        <w:spacing w:before="0" w:after="100" w:line="276" w:lineRule="auto"/>
      </w:pPr>
    </w:p>
    <w:p>
      <w:pPr>
        <w:keepNext/>
        <w:spacing w:before="280" w:after="80"/>
      </w:pPr>
      <w:r>
        <w:rPr>
          <w:rFonts w:ascii="Calibri" w:hAnsi="Calibri"/>
          <w:color w:val="003366"/>
          <w:sz w:val="26"/>
        </w:rPr>
        <w:t>M.S. by Research Program</w:t>
      </w:r>
    </w:p>
    <w:p>
      <w:pPr>
        <w:spacing w:before="0" w:after="100" w:line="276" w:lineRule="auto"/>
      </w:pPr>
      <w:r>
        <w:rPr>
          <w:rFonts w:ascii="Calibri" w:hAnsi="Calibri"/>
          <w:sz w:val="20"/>
        </w:rPr>
        <w:t>The Centre of Excellence for Arts and Digital Immersion (ADI) at IIT Jodhpur introduces the M.S. (by Research) program, a groundbreaking initiative merging traditional and emerging art forms with advanced technologies. Launched in July 2023, this flagship program fosters innovation, interdisciplinary research, and sustainable artistic practices. By blending creative arts with cutting-edge tools, it offers students a unique platform to redefine artistic expression and shape the future of art in the digital age.</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9">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https://www.iitj.ac.in/admission-postgraduate-programs/en/Admission-to-Postgraduate-Programs</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https://www.iitj.ac.in/admission-postgraduate-programs/en/admission-to-postgraduate-programs</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https://www.iitj.ac.in/centre-of-excellence-on-arts-and-digital-immersion/en/m.s.-by-research-program</w:t>
        </w:r>
      </w:hyperlink>
    </w:p>
    <w:p>
      <w:pPr>
        <w:pStyle w:val="ListBullet"/>
        <w:spacing w:before="20" w:after="40"/>
      </w:pPr>
      <w:r>
        <w:rPr>
          <w:rFonts w:ascii="Calibri" w:hAnsi="Calibri"/>
          <w:sz w:val="20"/>
        </w:rPr>
        <w:t xml:space="preserve">Traceable Knowledge Units: </w:t>
      </w:r>
      <w:r>
        <w:rPr>
          <w:rFonts w:ascii="Consolas" w:hAnsi="Consolas"/>
          <w:color w:val="333333"/>
          <w:sz w:val="19"/>
        </w:rPr>
        <w:t>192f127d3d57c70d</w:t>
      </w:r>
      <w:r>
        <w:rPr>
          <w:rFonts w:ascii="Calibri" w:hAnsi="Calibri"/>
          <w:sz w:val="20"/>
        </w:rPr>
        <w:t xml:space="preserve">, </w:t>
      </w:r>
      <w:r>
        <w:rPr>
          <w:rFonts w:ascii="Consolas" w:hAnsi="Consolas"/>
          <w:color w:val="333333"/>
          <w:sz w:val="19"/>
        </w:rPr>
        <w:t>d9ec89a06147662b</w:t>
      </w:r>
      <w:r>
        <w:rPr>
          <w:rFonts w:ascii="Calibri" w:hAnsi="Calibri"/>
          <w:sz w:val="20"/>
        </w:rPr>
        <w:t xml:space="preserve">, </w:t>
      </w:r>
      <w:r>
        <w:rPr>
          <w:rFonts w:ascii="Consolas" w:hAnsi="Consolas"/>
          <w:color w:val="333333"/>
          <w:sz w:val="19"/>
        </w:rPr>
        <w:t>da423d385f532cbe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 TargetMode="External"/><Relationship Id="rId10" Type="http://schemas.openxmlformats.org/officeDocument/2006/relationships/hyperlink" Target="https://www.iitj.ac.in/admission-postgraduate-programs/en/Admission-to-Postgraduate-Programs" TargetMode="External"/><Relationship Id="rId11" Type="http://schemas.openxmlformats.org/officeDocument/2006/relationships/hyperlink" Target="https://www.iitj.ac.in/admission-postgraduate-programs/en/admission-to-postgraduate-programs" TargetMode="External"/><Relationship Id="rId12" Type="http://schemas.openxmlformats.org/officeDocument/2006/relationships/hyperlink" Target="https://www.iitj.ac.in/centre-of-excellence-on-arts-and-digital-immersion/en/m.s.-by-research-pro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