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Research Platforms and Focus Areas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research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overview of research platforms, transdisciplinary education technology, and creative arts research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Transdisciplinary Research Areas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Key frontier research domains supported across academic platforms:</w:t>
      </w:r>
    </w:p>
    <w:p>
      <w:pPr>
        <w:pStyle w:val="ListBullet"/>
        <w:spacing w:before="20" w:after="40"/>
      </w:pPr>
      <w:hyperlink r:id="rId9">
        <w:r>
          <w:rPr>
            <w:color w:val="004B87"/>
            <w:u w:val="single"/>
          </w:rPr>
          <w:t xml:space="preserve">Blended Learning and Flipped Classroom</w:t>
        </w:r>
      </w:hyperlink>
    </w:p>
    <w:p>
      <w:pPr>
        <w:pStyle w:val="ListBullet"/>
        <w:spacing w:before="20" w:after="40"/>
      </w:pPr>
      <w:hyperlink r:id="rId10">
        <w:r>
          <w:rPr>
            <w:color w:val="004B87"/>
            <w:u w:val="single"/>
          </w:rPr>
          <w:t xml:space="preserve">Game-based Learning for Eng. Education</w:t>
        </w:r>
      </w:hyperlink>
    </w:p>
    <w:p>
      <w:pPr>
        <w:pStyle w:val="ListBullet"/>
        <w:spacing w:before="20" w:after="40"/>
      </w:pPr>
      <w:hyperlink r:id="rId11">
        <w:r>
          <w:rPr>
            <w:color w:val="004B87"/>
            <w:u w:val="single"/>
          </w:rPr>
          <w:t xml:space="preserve">Immersive Education</w:t>
        </w:r>
      </w:hyperlink>
    </w:p>
    <w:p>
      <w:pPr>
        <w:pStyle w:val="ListBullet"/>
        <w:spacing w:before="20" w:after="40"/>
      </w:pPr>
      <w:hyperlink r:id="rId12">
        <w:r>
          <w:rPr>
            <w:color w:val="004B87"/>
            <w:u w:val="single"/>
          </w:rPr>
          <w:t xml:space="preserve">Behavioral Studies</w:t>
        </w:r>
      </w:hyperlink>
    </w:p>
    <w:p>
      <w:pPr>
        <w:pStyle w:val="ListBullet"/>
        <w:spacing w:before="20" w:after="40"/>
      </w:pPr>
      <w:hyperlink r:id="rId13">
        <w:r>
          <w:rPr>
            <w:color w:val="004B87"/>
            <w:u w:val="single"/>
          </w:rPr>
          <w:t xml:space="preserve">Education Policy</w:t>
        </w:r>
      </w:hyperlink>
    </w:p>
    <w:p>
      <w:pPr>
        <w:spacing w:before="0" w:after="100" w:line="276" w:lineRule="auto"/>
      </w:pPr>
      <w:r>
        <w:rPr>
          <w:rFonts w:ascii="Calibri" w:hAnsi="Calibri"/>
          <w:sz w:val="20"/>
        </w:rPr>
        <w:t>The future of higher education requires moving from test-driven grade-centric fixed curriculum frameworks into curiosity-driven, learning-centric personalized paradigms. Education should be flexible, individualized, and designed to integrate technical disciplines with real-world social contexts.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Creative Arts and Digital Immersion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The Centre of Excellence for Arts and Digital Immersion (ADI) explores innovative intersections between artificial intelligence, creative technologies, and cultural heritage: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AI and Creative Arts: Utilizing AI for generative artwork, musical composition, digital storytelling, and exploring ethical questions around digital authorship.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Mixed-Media and Immersive Art: Redefining visual arts through immersive Virtual Reality (VR), Augmented Reality (AR), and Mixed Reality (MR) installations.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14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9">
        <w:r>
          <w:rPr>
            <w:color w:val="004B87"/>
            <w:u w:val="single"/>
          </w:rPr>
          <w:t xml:space="preserve">https://www.iitj.ac.in/cete/en/blended-learning-and-flipped-classroom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https://www.iitj.ac.in/cete/en/game-based-learning-for-engineering-education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1">
        <w:r>
          <w:rPr>
            <w:color w:val="004B87"/>
            <w:u w:val="single"/>
          </w:rPr>
          <w:t xml:space="preserve">https://www.iitj.ac.in/cete/en/immersive-education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2">
        <w:r>
          <w:rPr>
            <w:color w:val="004B87"/>
            <w:u w:val="single"/>
          </w:rPr>
          <w:t xml:space="preserve">https://www.iitj.ac.in/cete/en/behavioral-studies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3">
        <w:r>
          <w:rPr>
            <w:color w:val="004B87"/>
            <w:u w:val="single"/>
          </w:rPr>
          <w:t xml:space="preserve">https://www.iitj.ac.in/cete/en/education-policy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4">
        <w:r>
          <w:rPr>
            <w:color w:val="004B87"/>
            <w:u w:val="single"/>
          </w:rPr>
          <w:t xml:space="preserve">https://iitj.ac.in/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5">
        <w:r>
          <w:rPr>
            <w:color w:val="004B87"/>
            <w:u w:val="single"/>
          </w:rPr>
          <w:t xml:space="preserve">https://www.iitj.ac.in/cete/en/about-research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6">
        <w:r>
          <w:rPr>
            <w:color w:val="004B87"/>
            <w:u w:val="single"/>
          </w:rPr>
          <w:t xml:space="preserve">https://www.iitj.ac.in/centre-of-excellence-on-arts-and-digital-immersion/en/about-research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4c0fea3346587b0a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itj.ac.in/cete/en/blended-learning-and-flipped-classroom" TargetMode="External"/><Relationship Id="rId10" Type="http://schemas.openxmlformats.org/officeDocument/2006/relationships/hyperlink" Target="https://www.iitj.ac.in/cete/en/game-based-learning-for-engineering-education" TargetMode="External"/><Relationship Id="rId11" Type="http://schemas.openxmlformats.org/officeDocument/2006/relationships/hyperlink" Target="https://www.iitj.ac.in/cete/en/immersive-education" TargetMode="External"/><Relationship Id="rId12" Type="http://schemas.openxmlformats.org/officeDocument/2006/relationships/hyperlink" Target="https://www.iitj.ac.in/cete/en/behavioral-studies" TargetMode="External"/><Relationship Id="rId13" Type="http://schemas.openxmlformats.org/officeDocument/2006/relationships/hyperlink" Target="https://www.iitj.ac.in/cete/en/education-policy" TargetMode="External"/><Relationship Id="rId14" Type="http://schemas.openxmlformats.org/officeDocument/2006/relationships/hyperlink" Target="https://iitj.ac.in/" TargetMode="External"/><Relationship Id="rId15" Type="http://schemas.openxmlformats.org/officeDocument/2006/relationships/hyperlink" Target="https://www.iitj.ac.in/cete/en/about-research](https://www.iitj.ac.in/cete/en/about-research](https://www.iitj.ac.in/cete/en/about-research" TargetMode="External"/><Relationship Id="rId16" Type="http://schemas.openxmlformats.org/officeDocument/2006/relationships/hyperlink" Target="https://www.iitj.ac.in/centre-of-excellence-on-arts-and-digital-immersion/en/about-research](https://www.iitj.ac.in/centre-of-excellence-on-arts-and-digital-immersion/en/about-research](https://www.iitj.ac.in/centre-of-excellence-on-arts-and-digital-immersion/en/about-re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