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Facilities</w:t>
      </w:r>
    </w:p>
    <w:p>
      <w:pPr>
        <w:spacing w:before="0" w:after="280"/>
      </w:pPr>
      <w:r>
        <w:rPr>
          <w:rFonts w:ascii="Calibri" w:hAnsi="Calibri"/>
          <w:i/>
          <w:color w:val="666666"/>
          <w:sz w:val="20"/>
        </w:rPr>
        <w:t>Indian Institute of Technology Jodhpur  |  Category: research_and_technology_facilities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Facilities at Indian Institute of Technology Jodhpur.</w:t>
      </w:r>
    </w:p>
    <w:p>
      <w:pPr>
        <w:keepNext/>
        <w:spacing w:before="280" w:after="80"/>
      </w:pPr>
      <w:r>
        <w:rPr>
          <w:rFonts w:ascii="Calibri" w:hAnsi="Calibri"/>
          <w:color w:val="003366"/>
          <w:sz w:val="26"/>
        </w:rPr>
        <w:t>Welcome To The Artificial Intelligence of Things (AIOT) Fab Facility</w:t>
      </w:r>
    </w:p>
    <w:p>
      <w:pPr>
        <w:spacing w:before="0" w:after="100" w:line="276" w:lineRule="auto"/>
      </w:pPr>
      <w:r>
        <w:rPr>
          <w:rFonts w:ascii="Calibri" w:hAnsi="Calibri"/>
          <w:sz w:val="20"/>
        </w:rPr>
        <w:t>Artificial Intelligence of Things (AIOT) is a new technology vertical that has leveraged the convergence of Artificial Intelligence (AI), the Internet of Things (IoT), along with mobile communication technologies, and has led to a massive growth in the intelligent devices that are connected together to solve problems collaboratively.</w:t>
      </w:r>
    </w:p>
    <w:p>
      <w:pPr>
        <w:spacing w:before="0" w:after="100" w:line="276" w:lineRule="auto"/>
      </w:pPr>
      <w:r>
        <w:rPr>
          <w:rFonts w:ascii="Calibri" w:hAnsi="Calibri"/>
          <w:sz w:val="20"/>
        </w:rPr>
        <w:t>Artificial Intelligence of Things (AIoT) initiative at IIT Jodhpur aims to create facilities for End-to-End Design, Development, Prototyping, and Delivery of AIOT systems for start-ups, MSMEs, and end-user industries, catering to applications of Industry 4.0, agriculture, healthcare, infrastructure, energy, environment, and water management.</w:t>
      </w:r>
    </w:p>
    <w:p>
      <w:pPr>
        <w:spacing w:before="0" w:after="100" w:line="276" w:lineRule="auto"/>
      </w:pPr>
      <w:r>
        <w:rPr>
          <w:rFonts w:ascii="Calibri" w:hAnsi="Calibri"/>
          <w:sz w:val="20"/>
        </w:rPr>
        <w:t>Two important facilities are created for the development of AIOT technologies by faculty and Students of IIT Jodhpur, with participation of industry and other academic partners</w:t>
      </w:r>
    </w:p>
    <w:p>
      <w:pPr>
        <w:keepNext/>
        <w:spacing w:before="280" w:after="80"/>
      </w:pPr>
      <w:r>
        <w:rPr>
          <w:rFonts w:ascii="Calibri" w:hAnsi="Calibri"/>
          <w:color w:val="003366"/>
          <w:sz w:val="26"/>
        </w:rPr>
        <w:t>Bio-Lab Facilities</w:t>
      </w:r>
    </w:p>
    <w:p>
      <w:pPr>
        <w:spacing w:before="0" w:after="100" w:line="276" w:lineRule="auto"/>
      </w:pPr>
      <w:r>
        <w:rPr>
          <w:rFonts w:ascii="Calibri" w:hAnsi="Calibri"/>
          <w:sz w:val="20"/>
        </w:rPr>
        <w:t>State-of-the-art laboratories supporting biotechnology, life sciences, and deep tech research and development.</w:t>
      </w:r>
    </w:p>
    <w:p>
      <w:pPr>
        <w:keepNext/>
        <w:spacing w:before="280" w:after="80"/>
      </w:pPr>
      <w:r>
        <w:rPr>
          <w:rFonts w:ascii="Calibri" w:hAnsi="Calibri"/>
          <w:color w:val="003366"/>
          <w:sz w:val="26"/>
        </w:rPr>
        <w:t>AIoT Fab Facility</w:t>
      </w:r>
    </w:p>
    <w:p>
      <w:pPr>
        <w:spacing w:before="0" w:after="100" w:line="276" w:lineRule="auto"/>
      </w:pPr>
      <w:r>
        <w:rPr>
          <w:rFonts w:ascii="Calibri" w:hAnsi="Calibri"/>
          <w:sz w:val="20"/>
        </w:rPr>
        <w:t>The Fab is equipped with a set of instruments for the development &amp; characterization of sensors of various kinds that are the foundation of an IoT ecosystem, providing devices with the ability to collect data. The Fab Facility is undergoing further updates with the addition of new instruments. The AIoT Fab also focuses on the development of new sensing materials and targets applications based on photonics, biotechnology, and solar cells. It also envisions developing flexible sensors that can be used for making wearable devices, along with other inertial sensors, utilising MEMS technology.</w:t>
      </w:r>
    </w:p>
    <w:p>
      <w:pPr>
        <w:keepNext/>
        <w:spacing w:before="280" w:after="80"/>
      </w:pPr>
      <w:r>
        <w:rPr>
          <w:rFonts w:ascii="Calibri" w:hAnsi="Calibri"/>
          <w:color w:val="003366"/>
          <w:sz w:val="26"/>
        </w:rPr>
        <w:t>Welcome To The Health Center, IIT Jodhpur</w:t>
      </w:r>
    </w:p>
    <w:p>
      <w:pPr>
        <w:spacing w:before="0" w:after="100" w:line="276" w:lineRule="auto"/>
      </w:pPr>
      <w:r>
        <w:rPr>
          <w:rFonts w:ascii="Calibri" w:hAnsi="Calibri"/>
          <w:sz w:val="20"/>
        </w:rPr>
        <w:t>The Health Centre (HC) has been started at the Permanent Campus of IIT Jodhpur from 15 June 2017. IIT Jodhpur provides round-the-clock health care facilities to Students, Faculty/ Staff Members and their dependents, also other residents and working staff of the Institute.</w:t>
      </w:r>
    </w:p>
    <w:p>
      <w:pPr>
        <w:spacing w:before="0" w:after="100" w:line="276" w:lineRule="auto"/>
      </w:pPr>
      <w:r>
        <w:rPr>
          <w:rFonts w:ascii="Calibri" w:hAnsi="Calibri"/>
          <w:sz w:val="20"/>
        </w:rPr>
        <w:t>This fully equipped and self-sufficient facility is run under the supervision of Professor-in-charge Health Center (PIC-HC) and Medical Officers (MO) with advice provided by the Medical Service User’s Committee (MSUC).</w:t>
      </w:r>
    </w:p>
    <w:p>
      <w:pPr>
        <w:spacing w:before="0" w:after="100" w:line="276" w:lineRule="auto"/>
      </w:pPr>
      <w:r>
        <w:rPr>
          <w:rFonts w:ascii="Calibri" w:hAnsi="Calibri"/>
          <w:b/>
          <w:sz w:val="20"/>
        </w:rPr>
        <w:t>Presently, the following facilities are available at the Health Centre (HC):</w:t>
      </w:r>
    </w:p>
    <w:p>
      <w:pPr>
        <w:pStyle w:val="ListNumber"/>
        <w:spacing w:before="20" w:after="40"/>
      </w:pPr>
      <w:r>
        <w:rPr>
          <w:rFonts w:ascii="Calibri" w:hAnsi="Calibri"/>
          <w:b/>
          <w:sz w:val="20"/>
        </w:rPr>
        <w:t>Medical Officers (24 x 7),</w:t>
      </w:r>
    </w:p>
    <w:p>
      <w:pPr>
        <w:pStyle w:val="ListNumber"/>
        <w:spacing w:before="20" w:after="40"/>
      </w:pPr>
      <w:r>
        <w:rPr>
          <w:rFonts w:ascii="Calibri" w:hAnsi="Calibri"/>
          <w:b/>
          <w:sz w:val="20"/>
        </w:rPr>
        <w:t>Regular visits of specialist doctors (Psychiatrist, Gynae ologist, Paediatrician, ENT, Medicine, Orthopaedician),</w:t>
      </w:r>
    </w:p>
    <w:p>
      <w:pPr>
        <w:pStyle w:val="ListNumber"/>
        <w:spacing w:before="20" w:after="40"/>
      </w:pPr>
      <w:r>
        <w:rPr>
          <w:rFonts w:ascii="Calibri" w:hAnsi="Calibri"/>
          <w:b/>
          <w:sz w:val="20"/>
        </w:rPr>
        <w:t>Nursing Officers, Male &amp; Female (24 x7),</w:t>
      </w:r>
    </w:p>
    <w:p>
      <w:pPr>
        <w:pStyle w:val="ListNumber"/>
        <w:spacing w:before="20" w:after="40"/>
      </w:pPr>
      <w:r>
        <w:rPr>
          <w:rFonts w:ascii="Calibri" w:hAnsi="Calibri"/>
          <w:b/>
          <w:sz w:val="20"/>
        </w:rPr>
        <w:t>Diagnostic Laboratory,</w:t>
      </w:r>
    </w:p>
    <w:p>
      <w:pPr>
        <w:pStyle w:val="ListNumber"/>
        <w:spacing w:before="20" w:after="40"/>
      </w:pPr>
      <w:r>
        <w:rPr>
          <w:rFonts w:ascii="Calibri" w:hAnsi="Calibri"/>
          <w:b/>
          <w:sz w:val="20"/>
        </w:rPr>
        <w:t>Physiotherapy Unit,</w:t>
      </w:r>
    </w:p>
    <w:p>
      <w:pPr>
        <w:pStyle w:val="ListNumber"/>
        <w:spacing w:before="20" w:after="40"/>
      </w:pPr>
      <w:r>
        <w:rPr>
          <w:rFonts w:ascii="Calibri" w:hAnsi="Calibri"/>
          <w:b/>
          <w:sz w:val="20"/>
        </w:rPr>
        <w:t>In-house Pharmacy,</w:t>
      </w:r>
    </w:p>
    <w:p>
      <w:pPr>
        <w:pStyle w:val="ListNumber"/>
        <w:spacing w:before="20" w:after="40"/>
      </w:pPr>
      <w:r>
        <w:rPr>
          <w:rFonts w:ascii="Calibri" w:hAnsi="Calibri"/>
          <w:b/>
          <w:sz w:val="20"/>
        </w:rPr>
        <w:t>24 x7 Emergency Room and Daycare Room,</w:t>
      </w:r>
    </w:p>
    <w:p>
      <w:pPr>
        <w:pStyle w:val="ListNumber"/>
        <w:spacing w:before="20" w:after="40"/>
      </w:pPr>
      <w:r>
        <w:rPr>
          <w:rFonts w:ascii="Calibri" w:hAnsi="Calibri"/>
          <w:b/>
          <w:sz w:val="20"/>
        </w:rPr>
        <w:t>Separate Male and Female Wards and Isolation Rooms,</w:t>
      </w:r>
    </w:p>
    <w:p>
      <w:pPr>
        <w:pStyle w:val="ListNumber"/>
        <w:spacing w:before="20" w:after="40"/>
      </w:pPr>
      <w:r>
        <w:rPr>
          <w:rFonts w:ascii="Calibri" w:hAnsi="Calibri"/>
          <w:b/>
          <w:sz w:val="20"/>
        </w:rPr>
        <w:t>01 ACLS (Advanced Cardiac Life Support) Ambulance and 01 BLS (Basic Life Support) Ambulance,</w:t>
      </w:r>
    </w:p>
    <w:p>
      <w:pPr>
        <w:pStyle w:val="ListNumber"/>
        <w:spacing w:before="20" w:after="40"/>
      </w:pPr>
      <w:r>
        <w:rPr>
          <w:rFonts w:ascii="Calibri" w:hAnsi="Calibri"/>
          <w:b/>
          <w:sz w:val="20"/>
        </w:rPr>
        <w:t>Ayurvedic, Homeopathic and Naturopathic and other consultants visit twice a week.</w:t>
      </w:r>
    </w:p>
    <w:p>
      <w:pPr>
        <w:keepNext/>
        <w:spacing w:before="280" w:after="80"/>
      </w:pPr>
      <w:r>
        <w:rPr>
          <w:rFonts w:ascii="Calibri" w:hAnsi="Calibri"/>
          <w:color w:val="003366"/>
          <w:sz w:val="26"/>
        </w:rPr>
        <w:t>_Guidelines to use CRF facility for internal users_</w:t>
      </w:r>
    </w:p>
    <w:p>
      <w:pPr>
        <w:spacing w:before="0" w:after="100" w:line="276" w:lineRule="auto"/>
      </w:pPr>
      <w:r>
        <w:rPr>
          <w:rFonts w:ascii="Calibri" w:hAnsi="Calibri"/>
          <w:b/>
          <w:sz w:val="20"/>
        </w:rPr>
        <w:t>Rules for sample submission and data collection:</w:t>
      </w:r>
    </w:p>
    <w:p>
      <w:pPr>
        <w:pStyle w:val="ListNumber"/>
        <w:spacing w:before="20" w:after="40"/>
      </w:pPr>
      <w:r>
        <w:rPr>
          <w:rFonts w:ascii="Calibri" w:hAnsi="Calibri"/>
          <w:sz w:val="20"/>
        </w:rPr>
        <w:t>Students are strictly requested to submit your own samples and collect respective data by yourself only.</w:t>
      </w:r>
    </w:p>
    <w:p>
      <w:pPr>
        <w:pStyle w:val="ListNumber"/>
        <w:spacing w:before="20" w:after="40"/>
      </w:pPr>
      <w:r>
        <w:rPr>
          <w:rFonts w:ascii="Calibri" w:hAnsi="Calibri"/>
          <w:sz w:val="20"/>
        </w:rPr>
        <w:t>Pendrive is not allowed in any instrument under CRF facility.</w:t>
      </w:r>
    </w:p>
    <w:p>
      <w:pPr>
        <w:pStyle w:val="ListNumber"/>
        <w:spacing w:before="20" w:after="40"/>
      </w:pPr>
      <w:r>
        <w:rPr>
          <w:rFonts w:ascii="Calibri" w:hAnsi="Calibri"/>
          <w:sz w:val="20"/>
        </w:rPr>
        <w:t>Student must come with his/her CD for collecting data.</w:t>
      </w:r>
    </w:p>
    <w:p>
      <w:pPr>
        <w:pStyle w:val="ListNumber"/>
        <w:spacing w:before="20" w:after="40"/>
      </w:pPr>
      <w:r>
        <w:rPr>
          <w:rFonts w:ascii="Calibri" w:hAnsi="Calibri"/>
          <w:sz w:val="20"/>
        </w:rPr>
        <w:t>Students are requested to collect data within 7 days after performing samples. After that if any loss of data happens CRF staff will not take the responsibility.</w:t>
      </w:r>
    </w:p>
    <w:p>
      <w:pPr>
        <w:spacing w:before="0" w:after="100" w:line="276" w:lineRule="auto"/>
      </w:pPr>
    </w:p>
    <w:p>
      <w:pPr>
        <w:spacing w:before="0" w:after="100" w:line="276" w:lineRule="auto"/>
      </w:pPr>
    </w:p>
    <w:p>
      <w:pPr>
        <w:spacing w:before="0" w:after="100" w:line="276" w:lineRule="auto"/>
      </w:pPr>
      <w:r>
        <w:rPr>
          <w:rFonts w:ascii="Calibri" w:hAnsi="Calibri"/>
          <w:b/>
          <w:sz w:val="20"/>
        </w:rPr>
        <w:t>Rules for entering and working in CRF facility:</w:t>
      </w:r>
    </w:p>
    <w:p>
      <w:pPr>
        <w:pStyle w:val="ListNumber"/>
        <w:spacing w:before="20" w:after="40"/>
      </w:pPr>
      <w:r>
        <w:rPr>
          <w:rFonts w:ascii="Calibri" w:hAnsi="Calibri"/>
          <w:sz w:val="20"/>
        </w:rPr>
        <w:t>Signing in register before entering in CRF is mandatory.</w:t>
      </w:r>
    </w:p>
    <w:p>
      <w:pPr>
        <w:pStyle w:val="ListNumber"/>
        <w:spacing w:before="20" w:after="40"/>
      </w:pPr>
      <w:r>
        <w:rPr>
          <w:rFonts w:ascii="Calibri" w:hAnsi="Calibri"/>
          <w:sz w:val="20"/>
        </w:rPr>
        <w:t>Users are requested to do proper entry in log book Register for the respective equipment after completion of the measurements. Strict action will be taken if it is found that log book entry is not maintained properly.</w:t>
      </w:r>
    </w:p>
    <w:p>
      <w:pPr>
        <w:pStyle w:val="ListNumber"/>
        <w:spacing w:before="20" w:after="40"/>
      </w:pPr>
      <w:r>
        <w:rPr>
          <w:rFonts w:ascii="Calibri" w:hAnsi="Calibri"/>
          <w:sz w:val="20"/>
        </w:rPr>
        <w:t xml:space="preserve">Users must have to submit a requisition for working after 5:30 pm on weekdays as well as on holidays and weekends. </w:t>
      </w:r>
      <w:hyperlink r:id="rId9">
        <w:r>
          <w:rPr>
            <w:color w:val="004B87"/>
            <w:u w:val="single"/>
          </w:rPr>
          <w:t xml:space="preserve">(Requisition for working in beyond office hours) (Download file: 113 KB )</w:t>
        </w:r>
      </w:hyperlink>
    </w:p>
    <w:p>
      <w:pPr>
        <w:pStyle w:val="ListNumber"/>
        <w:spacing w:before="20" w:after="40"/>
      </w:pPr>
      <w:r>
        <w:rPr>
          <w:rFonts w:ascii="Calibri" w:hAnsi="Calibri"/>
          <w:sz w:val="20"/>
        </w:rPr>
        <w:t>Working alone beyond office hours is strictly prohibited. Two students are requested to work together on these times for safety purposes.</w:t>
      </w:r>
    </w:p>
    <w:p>
      <w:pPr>
        <w:spacing w:before="0" w:after="100" w:line="276" w:lineRule="auto"/>
      </w:pPr>
    </w:p>
    <w:p>
      <w:pPr>
        <w:spacing w:before="0" w:after="100" w:line="276" w:lineRule="auto"/>
      </w:pPr>
    </w:p>
    <w:p>
      <w:pPr>
        <w:spacing w:before="0" w:after="100" w:line="276" w:lineRule="auto"/>
      </w:pPr>
      <w:r>
        <w:rPr>
          <w:rFonts w:ascii="Calibri" w:hAnsi="Calibri"/>
          <w:b/>
          <w:sz w:val="20"/>
        </w:rPr>
        <w:t>Rules for the arrangement of consumables for measurements:</w:t>
      </w:r>
    </w:p>
    <w:p>
      <w:pPr>
        <w:spacing w:before="0" w:after="100" w:line="276" w:lineRule="auto"/>
      </w:pPr>
      <w:r>
        <w:rPr>
          <w:rFonts w:ascii="Calibri" w:hAnsi="Calibri"/>
          <w:sz w:val="20"/>
        </w:rPr>
        <w:t>Consumables for measurements will be provided by CRF if the expenditure is less the 10 thousands per year. Else consumables have to be arranged by users themselves.</w:t>
      </w:r>
    </w:p>
    <w:p>
      <w:pPr>
        <w:spacing w:before="0" w:after="100" w:line="276" w:lineRule="auto"/>
      </w:pPr>
    </w:p>
    <w:p>
      <w:pPr>
        <w:spacing w:before="0" w:after="100" w:line="276" w:lineRule="auto"/>
      </w:pPr>
    </w:p>
    <w:p>
      <w:pPr>
        <w:spacing w:before="0" w:after="100" w:line="276" w:lineRule="auto"/>
      </w:pPr>
      <w:r>
        <w:rPr>
          <w:rFonts w:ascii="Calibri" w:hAnsi="Calibri"/>
          <w:b/>
          <w:sz w:val="20"/>
        </w:rPr>
        <w:t>Rules for online booking of CRF facility:</w:t>
      </w:r>
    </w:p>
    <w:p>
      <w:pPr>
        <w:pStyle w:val="ListNumber"/>
        <w:spacing w:before="20" w:after="40"/>
      </w:pPr>
      <w:r>
        <w:rPr>
          <w:rFonts w:ascii="Calibri" w:hAnsi="Calibri"/>
          <w:sz w:val="20"/>
        </w:rPr>
        <w:t>Every student has to do a one-time registration of their roll number for utilizing the CRF facility. In the case of project staff, registration can be done through their personal file number.</w:t>
      </w:r>
    </w:p>
    <w:p>
      <w:pPr>
        <w:pStyle w:val="ListNumber"/>
        <w:spacing w:before="20" w:after="40"/>
      </w:pPr>
      <w:r>
        <w:rPr>
          <w:rFonts w:ascii="Calibri" w:hAnsi="Calibri"/>
          <w:sz w:val="20"/>
        </w:rPr>
        <w:t>Each student/project staff can book a slot for utilizing CRF equipment through his or her LDAP account.</w:t>
      </w:r>
    </w:p>
    <w:p>
      <w:pPr>
        <w:pStyle w:val="ListNumber"/>
        <w:spacing w:before="20" w:after="40"/>
      </w:pPr>
      <w:r>
        <w:rPr>
          <w:rFonts w:ascii="Calibri" w:hAnsi="Calibri"/>
          <w:sz w:val="20"/>
        </w:rPr>
        <w:t>Each student is allowed to book only one slot per week for each equipment.</w:t>
      </w:r>
    </w:p>
    <w:p>
      <w:pPr>
        <w:pStyle w:val="ListNumber"/>
        <w:spacing w:before="20" w:after="40"/>
      </w:pPr>
      <w:r>
        <w:rPr>
          <w:rFonts w:ascii="Calibri" w:hAnsi="Calibri"/>
          <w:sz w:val="20"/>
        </w:rPr>
        <w:t>Every Monday 10 AM onwards students are allowed to book a slot for the next 15 days through online portal.</w:t>
      </w:r>
    </w:p>
    <w:p>
      <w:pPr>
        <w:pStyle w:val="ListNumber"/>
        <w:spacing w:before="20" w:after="40"/>
      </w:pPr>
      <w:r>
        <w:rPr>
          <w:rFonts w:ascii="Calibri" w:hAnsi="Calibri"/>
          <w:sz w:val="20"/>
        </w:rPr>
        <w:t>Slot time for each equipment is displayed on CRF portal with the equipment; students are requested to strictly adhere to the allotted time in order to make it convenient for other users.</w:t>
      </w:r>
    </w:p>
    <w:p>
      <w:pPr>
        <w:pStyle w:val="ListNumber"/>
        <w:spacing w:before="20" w:after="40"/>
      </w:pPr>
      <w:r>
        <w:rPr>
          <w:rFonts w:ascii="Calibri" w:hAnsi="Calibri"/>
          <w:sz w:val="20"/>
        </w:rPr>
        <w:t>The cancellation of the slot is highly undesirable.</w:t>
      </w:r>
    </w:p>
    <w:p>
      <w:pPr>
        <w:pStyle w:val="ListNumber"/>
        <w:spacing w:before="20" w:after="40"/>
      </w:pPr>
      <w:r>
        <w:rPr>
          <w:rFonts w:ascii="Calibri" w:hAnsi="Calibri"/>
          <w:sz w:val="20"/>
        </w:rPr>
        <w:t>If you have to cancel the slot due to an inevitable reason, inform the same to CRF scientific officer in advance, at least one day before to make it convenient for others.</w:t>
      </w:r>
    </w:p>
    <w:p>
      <w:pPr>
        <w:pStyle w:val="ListNumber"/>
        <w:spacing w:before="20" w:after="40"/>
      </w:pPr>
      <w:r>
        <w:rPr>
          <w:rFonts w:ascii="Calibri" w:hAnsi="Calibri"/>
          <w:sz w:val="20"/>
        </w:rPr>
        <w:t>Users are not allowed to cancel more than two slots in a month. If they do so, that particular user will be debarred for using the CRF facility for the next three months.</w:t>
      </w:r>
    </w:p>
    <w:p>
      <w:pPr>
        <w:spacing w:before="0" w:after="100" w:line="276" w:lineRule="auto"/>
      </w:pPr>
    </w:p>
    <w:p>
      <w:pPr>
        <w:spacing w:before="0" w:after="100" w:line="276" w:lineRule="auto"/>
      </w:pPr>
    </w:p>
    <w:p>
      <w:pPr>
        <w:spacing w:before="0" w:after="100" w:line="276" w:lineRule="auto"/>
      </w:pPr>
      <w:r>
        <w:rPr>
          <w:rFonts w:ascii="Calibri" w:hAnsi="Calibri"/>
          <w:b/>
          <w:sz w:val="20"/>
        </w:rPr>
        <w:t>Rules for arranging demonstration for course work at CRF facility:</w:t>
      </w:r>
    </w:p>
    <w:p>
      <w:pPr>
        <w:pStyle w:val="ListNumber"/>
        <w:spacing w:before="20" w:after="40"/>
      </w:pPr>
      <w:r>
        <w:rPr>
          <w:rFonts w:ascii="Calibri" w:hAnsi="Calibri"/>
          <w:sz w:val="20"/>
        </w:rPr>
        <w:t>Please inform CRF Scientific Officer the date of the demonstration at least one week prior.</w:t>
      </w:r>
    </w:p>
    <w:p>
      <w:pPr>
        <w:pStyle w:val="ListNumber"/>
        <w:spacing w:before="20" w:after="40"/>
      </w:pPr>
      <w:r>
        <w:rPr>
          <w:rFonts w:ascii="Calibri" w:hAnsi="Calibri"/>
          <w:sz w:val="20"/>
        </w:rPr>
        <w:t>Please book online slot for the demonstration.</w:t>
      </w:r>
    </w:p>
    <w:p>
      <w:pPr>
        <w:pStyle w:val="ListNumber"/>
        <w:spacing w:before="20" w:after="40"/>
      </w:pPr>
      <w:r>
        <w:rPr>
          <w:rFonts w:ascii="Calibri" w:hAnsi="Calibri"/>
          <w:sz w:val="20"/>
        </w:rPr>
        <w:t>Faculty member must be present there during the demonstration.</w:t>
      </w:r>
    </w:p>
    <w:p>
      <w:pPr>
        <w:keepNext/>
        <w:spacing w:before="280" w:after="80"/>
      </w:pPr>
      <w:r>
        <w:rPr>
          <w:rFonts w:ascii="Calibri" w:hAnsi="Calibri"/>
          <w:color w:val="003366"/>
          <w:sz w:val="26"/>
        </w:rPr>
        <w:t>Welcome to the Central Research Facility (CRF)</w:t>
      </w:r>
    </w:p>
    <w:p>
      <w:pPr>
        <w:spacing w:before="0" w:after="100" w:line="276" w:lineRule="auto"/>
      </w:pPr>
      <w:r>
        <w:rPr>
          <w:rFonts w:ascii="Calibri" w:hAnsi="Calibri"/>
          <w:sz w:val="20"/>
        </w:rPr>
        <w:t>The state-of-the-art central instrumentation facility of IIT Jodhpur, which was established in 2018, has been designated as the Central Research Facility (CRF). The CRF has an endeavour to provide advanced scientific instrumentation service in the multidisciplinary field of research to the undergraduate, graduate, Ph.D students and the faculties of this esteemed institute, as well as researchers from other institutes across the country.</w:t>
      </w:r>
    </w:p>
    <w:p>
      <w:pPr>
        <w:keepNext/>
        <w:spacing w:before="280" w:after="80"/>
      </w:pPr>
      <w:r>
        <w:rPr>
          <w:rFonts w:ascii="Calibri" w:hAnsi="Calibri"/>
          <w:color w:val="003366"/>
          <w:sz w:val="26"/>
        </w:rPr>
        <w:t>Campus Infrastructure</w:t>
      </w:r>
    </w:p>
    <w:p>
      <w:pPr>
        <w:spacing w:before="0" w:after="100" w:line="276" w:lineRule="auto"/>
      </w:pPr>
      <w:r>
        <w:rPr>
          <w:rFonts w:ascii="Calibri" w:hAnsi="Calibri"/>
          <w:sz w:val="20"/>
        </w:rPr>
        <w:t>IIT Jodhpur has shifted to its sprawling state-of-the-art residential permanent campus on 852 acres of land located ~24 km away from the center of the city of Jodhpur on National Highway 62 towards Nagaur, N-NE from the center of Jodhpur. The permanent campus has 3 parcels of land. The Institute is finalising plans for adopting one of for harvesting technologies. This new campus has been planned meticulously and envisioned to stand as a symbol of academics – simple, but deep...</w:t>
      </w:r>
    </w:p>
    <w:p>
      <w:pPr>
        <w:spacing w:before="0" w:after="100" w:line="276" w:lineRule="auto"/>
      </w:pPr>
      <w:r>
        <w:rPr>
          <w:rFonts w:ascii="Calibri" w:hAnsi="Calibri"/>
          <w:sz w:val="20"/>
        </w:rPr>
        <w:t>The foundation stone for the permanent campus was laid on 16 April 2013 by the Hon. Union Minister for Human Resources Development (Government of India), Dr. M. M. Pallam Raju. The Permanent Campus of the Institute is being constructed. Work to build Phase 1 of the campus began in March 2015. When complete, it will be the first fully planned technical institute campus in India. More importantly, it will be an international exemplar of sustainability with strategies for ensuring NET ZERO ENERGY, WATER, and WASTE. The other salient features of the Permanent Campus are:</w:t>
      </w:r>
    </w:p>
    <w:p>
      <w:pPr>
        <w:pStyle w:val="ListNumber"/>
        <w:spacing w:before="20" w:after="40"/>
      </w:pPr>
      <w:r>
        <w:rPr>
          <w:rFonts w:ascii="Calibri" w:hAnsi="Calibri"/>
          <w:sz w:val="20"/>
        </w:rPr>
        <w:t>Walking campus, which is pedestrian-oriented and bicycle-dominant;</w:t>
      </w:r>
    </w:p>
    <w:p>
      <w:pPr>
        <w:pStyle w:val="ListNumber"/>
        <w:spacing w:before="20" w:after="40"/>
      </w:pPr>
      <w:r>
        <w:rPr>
          <w:rFonts w:ascii="Calibri" w:hAnsi="Calibri"/>
          <w:sz w:val="20"/>
        </w:rPr>
        <w:t>Learning facilitated anywhere, anytime with a wireless ICT backbone (including multimedia-enabled learning spaces with flexible, shared public spaces);</w:t>
      </w:r>
    </w:p>
    <w:p>
      <w:pPr>
        <w:pStyle w:val="ListNumber"/>
        <w:spacing w:before="20" w:after="40"/>
      </w:pPr>
      <w:r>
        <w:rPr>
          <w:rFonts w:ascii="Calibri" w:hAnsi="Calibri"/>
          <w:sz w:val="20"/>
        </w:rPr>
        <w:t>Thermally comfortable smart buildings with GRIHA 4/5 star compliant buildings and GRIHA LD benchmark campus (including dense desert settlement morphology, low height buildings (up to a maximum of 3 storeys) built with low embodied energy materials, and improved local and traditional methods);</w:t>
      </w:r>
    </w:p>
    <w:p>
      <w:pPr>
        <w:pStyle w:val="ListNumber"/>
        <w:spacing w:before="20" w:after="40"/>
      </w:pPr>
      <w:r>
        <w:rPr>
          <w:rFonts w:ascii="Calibri" w:hAnsi="Calibri"/>
          <w:sz w:val="20"/>
        </w:rPr>
        <w:t>Plantation with native species, soil stabilization, protection from dusty wind to arrest erosion, desertification, and building up soil moisture over time;</w:t>
      </w:r>
    </w:p>
    <w:p>
      <w:pPr>
        <w:pStyle w:val="ListNumber"/>
        <w:spacing w:before="20" w:after="40"/>
      </w:pPr>
      <w:r>
        <w:rPr>
          <w:rFonts w:ascii="Calibri" w:hAnsi="Calibri"/>
          <w:sz w:val="20"/>
        </w:rPr>
        <w:t>Rainwater harvesting, water reduction, and sewage recycling, together green the site over time; and</w:t>
      </w:r>
    </w:p>
    <w:p>
      <w:pPr>
        <w:pStyle w:val="ListNumber"/>
        <w:spacing w:before="20" w:after="40"/>
      </w:pPr>
      <w:r>
        <w:rPr>
          <w:rFonts w:ascii="Calibri" w:hAnsi="Calibri"/>
          <w:sz w:val="20"/>
        </w:rPr>
        <w:t>Segregated wastes and customized recycling</w:t>
      </w:r>
    </w:p>
    <w:p>
      <w:pPr>
        <w:keepNext/>
        <w:spacing w:before="280" w:after="80"/>
      </w:pPr>
      <w:r>
        <w:rPr>
          <w:rFonts w:ascii="Calibri" w:hAnsi="Calibri"/>
          <w:color w:val="003366"/>
          <w:sz w:val="26"/>
        </w:rPr>
        <w:t>Specialized Prototyping Labs</w:t>
      </w:r>
    </w:p>
    <w:p>
      <w:pPr>
        <w:spacing w:before="0" w:after="100" w:line="276" w:lineRule="auto"/>
      </w:pPr>
      <w:r>
        <w:rPr>
          <w:rFonts w:ascii="Calibri" w:hAnsi="Calibri"/>
          <w:sz w:val="20"/>
        </w:rPr>
        <w:t>Advanced equipment and facilities for hardware development, 3D printing, electronics testing, and technology validation.</w:t>
      </w:r>
    </w:p>
    <w:p>
      <w:pPr>
        <w:spacing w:before="0" w:after="100" w:line="276" w:lineRule="auto"/>
      </w:pPr>
      <w:r>
        <w:rPr>
          <w:rFonts w:ascii="Calibri" w:hAnsi="Calibri"/>
          <w:i/>
          <w:sz w:val="20"/>
        </w:rPr>
        <w:t>Meeting Hall</w:t>
      </w:r>
    </w:p>
    <w:p>
      <w:pPr>
        <w:keepNext/>
        <w:spacing w:before="280" w:after="80"/>
      </w:pPr>
      <w:r>
        <w:rPr>
          <w:rFonts w:ascii="Calibri" w:hAnsi="Calibri"/>
          <w:color w:val="003366"/>
          <w:sz w:val="26"/>
        </w:rPr>
        <w:t>Facilities within Hostels</w:t>
      </w:r>
    </w:p>
    <w:p>
      <w:pPr>
        <w:spacing w:before="0" w:after="100" w:line="276" w:lineRule="auto"/>
      </w:pPr>
      <w:r>
        <w:rPr>
          <w:rFonts w:ascii="Calibri" w:hAnsi="Calibri"/>
          <w:sz w:val="20"/>
        </w:rPr>
        <w:t>The hostels at IIT Jodhpur are equipped with a wide range of facilities to ensure a comfortable, engaging, and productive stay for residents. Each hostel is designed to support academic needs, recreation, fitness, and cultural activities. Each room is approximately 80 sq ft in size. Key facilities include:</w:t>
      </w:r>
    </w:p>
    <w:p>
      <w:pPr>
        <w:pStyle w:val="ListBullet"/>
        <w:spacing w:before="20" w:after="40"/>
      </w:pPr>
      <w:r>
        <w:rPr>
          <w:rFonts w:ascii="Calibri" w:hAnsi="Calibri"/>
          <w:sz w:val="20"/>
        </w:rPr>
        <w:t>Well-ventilated rooms with essential furniture such as a bed, a study table, a chair, and an almirah</w:t>
      </w:r>
    </w:p>
    <w:p>
      <w:pPr>
        <w:pStyle w:val="ListBullet"/>
        <w:spacing w:before="20" w:after="40"/>
      </w:pPr>
      <w:r>
        <w:rPr>
          <w:rFonts w:ascii="Calibri" w:hAnsi="Calibri"/>
          <w:sz w:val="20"/>
        </w:rPr>
        <w:t>Electricity and water supply</w:t>
      </w:r>
    </w:p>
    <w:p>
      <w:pPr>
        <w:pStyle w:val="ListBullet"/>
        <w:spacing w:before="20" w:after="40"/>
      </w:pPr>
      <w:r>
        <w:rPr>
          <w:rFonts w:ascii="Calibri" w:hAnsi="Calibri"/>
          <w:sz w:val="20"/>
        </w:rPr>
        <w:t>Wi-Fi and LAN connectivity for academic and personal use</w:t>
      </w:r>
    </w:p>
    <w:p>
      <w:pPr>
        <w:pStyle w:val="ListBullet"/>
        <w:spacing w:before="20" w:after="40"/>
      </w:pPr>
      <w:r>
        <w:rPr>
          <w:rFonts w:ascii="Calibri" w:hAnsi="Calibri"/>
          <w:sz w:val="20"/>
        </w:rPr>
        <w:t>Dedicated common rooms , including:</w:t>
      </w:r>
    </w:p>
    <w:p>
      <w:pPr>
        <w:pStyle w:val="ListBullet"/>
        <w:spacing w:before="20" w:after="40"/>
      </w:pPr>
      <w:r>
        <w:rPr>
          <w:rFonts w:ascii="Calibri" w:hAnsi="Calibri"/>
          <w:sz w:val="20"/>
        </w:rPr>
        <w:t>TV rooms for recreation</w:t>
      </w:r>
    </w:p>
    <w:p>
      <w:pPr>
        <w:pStyle w:val="ListBullet"/>
        <w:spacing w:before="20" w:after="40"/>
      </w:pPr>
      <w:r>
        <w:rPr>
          <w:rFonts w:ascii="Calibri" w:hAnsi="Calibri"/>
          <w:sz w:val="20"/>
        </w:rPr>
        <w:t>Table tennis (TT) rooms and indoor sports/activity rooms</w:t>
      </w:r>
    </w:p>
    <w:p>
      <w:pPr>
        <w:pStyle w:val="ListBullet"/>
        <w:spacing w:before="20" w:after="40"/>
      </w:pPr>
      <w:r>
        <w:rPr>
          <w:rFonts w:ascii="Calibri" w:hAnsi="Calibri"/>
          <w:sz w:val="20"/>
        </w:rPr>
        <w:t>Study rooms for group and individual academic work</w:t>
      </w:r>
    </w:p>
    <w:p>
      <w:pPr>
        <w:pStyle w:val="ListBullet"/>
        <w:spacing w:before="20" w:after="40"/>
      </w:pPr>
      <w:r>
        <w:rPr>
          <w:rFonts w:ascii="Calibri" w:hAnsi="Calibri"/>
          <w:sz w:val="20"/>
        </w:rPr>
        <w:t>Music rooms to encourage cultural and creative pursuits</w:t>
      </w:r>
    </w:p>
    <w:p>
      <w:pPr>
        <w:pStyle w:val="ListBullet"/>
        <w:spacing w:before="20" w:after="40"/>
      </w:pPr>
      <w:r>
        <w:rPr>
          <w:rFonts w:ascii="Calibri" w:hAnsi="Calibri"/>
          <w:sz w:val="20"/>
        </w:rPr>
        <w:t>Indoor gym facilities in each hostel to promote physical fitness and healthy lifestyles</w:t>
      </w:r>
    </w:p>
    <w:p>
      <w:pPr>
        <w:pStyle w:val="ListBullet"/>
        <w:spacing w:before="20" w:after="40"/>
      </w:pPr>
      <w:r>
        <w:rPr>
          <w:rFonts w:ascii="Calibri" w:hAnsi="Calibri"/>
          <w:sz w:val="20"/>
        </w:rPr>
        <w:t>Laundry facilities</w:t>
      </w:r>
    </w:p>
    <w:p>
      <w:pPr>
        <w:pStyle w:val="ListBullet"/>
        <w:spacing w:before="20" w:after="40"/>
      </w:pPr>
      <w:r>
        <w:rPr>
          <w:rFonts w:ascii="Calibri" w:hAnsi="Calibri"/>
          <w:sz w:val="20"/>
        </w:rPr>
        <w:t>Drinking water through RO/filtered systems</w:t>
      </w:r>
    </w:p>
    <w:p>
      <w:pPr>
        <w:pStyle w:val="ListBullet"/>
        <w:spacing w:before="20" w:after="40"/>
      </w:pPr>
      <w:r>
        <w:rPr>
          <w:rFonts w:ascii="Calibri" w:hAnsi="Calibri"/>
          <w:sz w:val="20"/>
        </w:rPr>
        <w:t>Regular housekeeping and sanitation services</w:t>
      </w:r>
    </w:p>
    <w:p>
      <w:pPr>
        <w:pStyle w:val="ListBullet"/>
        <w:spacing w:before="20" w:after="40"/>
      </w:pPr>
      <w:r>
        <w:rPr>
          <w:rFonts w:ascii="Calibri" w:hAnsi="Calibri"/>
          <w:sz w:val="20"/>
        </w:rPr>
        <w:t>24×7 security with controlled access and monitoring</w:t>
      </w:r>
    </w:p>
    <w:p>
      <w:pPr>
        <w:pStyle w:val="ListBullet"/>
        <w:spacing w:before="20" w:after="40"/>
      </w:pPr>
      <w:r>
        <w:rPr>
          <w:rFonts w:ascii="Calibri" w:hAnsi="Calibri"/>
          <w:sz w:val="20"/>
        </w:rPr>
        <w:t>Access to medical support and emergency services through the Institute Health Centre</w:t>
      </w:r>
    </w:p>
    <w:p>
      <w:pPr>
        <w:spacing w:before="0" w:after="100" w:line="276" w:lineRule="auto"/>
      </w:pPr>
      <w:r>
        <w:rPr>
          <w:rFonts w:ascii="Calibri" w:hAnsi="Calibri"/>
          <w:sz w:val="20"/>
        </w:rPr>
        <w:t>These facilities collectively aim to provide a balanced hostel life that integrates academics, wellness, recreation, and community living.</w:t>
      </w:r>
    </w:p>
    <w:p>
      <w:pPr>
        <w:keepNext/>
        <w:spacing w:before="280" w:after="80"/>
      </w:pPr>
      <w:r>
        <w:rPr>
          <w:rFonts w:ascii="Calibri" w:hAnsi="Calibri"/>
          <w:color w:val="003366"/>
          <w:sz w:val="26"/>
        </w:rPr>
        <w:t>IIT Jodhpur x Public Arts Trust of India Collaborative Residency Program</w:t>
      </w:r>
    </w:p>
    <w:p>
      <w:pPr>
        <w:spacing w:before="0" w:after="100" w:line="276" w:lineRule="auto"/>
      </w:pPr>
      <w:r>
        <w:rPr>
          <w:rFonts w:ascii="Calibri" w:hAnsi="Calibri"/>
          <w:sz w:val="20"/>
        </w:rPr>
        <w:t>The Indian Institute of Technology Jodhpur (IITJ) and The Public Arts Trust of India (PATI) have partnered to create a unique Artist-in-Residency Program aimed at fostering transdisciplinary collaboration between art, design, technology, science, and digital innovation. The residency aligns with IITJ’s School of Liberal Arts (SoLA) and its vision to break disciplinary silos, enabling innovative and inclusive engagement.</w:t>
      </w:r>
    </w:p>
    <w:p>
      <w:pPr>
        <w:keepNext/>
        <w:spacing w:before="280" w:after="80"/>
      </w:pPr>
      <w:r>
        <w:rPr>
          <w:rFonts w:ascii="Calibri" w:hAnsi="Calibri"/>
          <w:color w:val="003366"/>
          <w:sz w:val="26"/>
        </w:rPr>
        <w:t>Miscellaneous Civil Works at RIG &amp; SRIG Lab, W-17 Berm, CRF, and BSBE Department, IIT Jodhpur.</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003366"/>
          </w:tcPr>
          <w:p>
            <w:pPr>
              <w:spacing w:before="60" w:after="60"/>
            </w:pPr>
            <w:r>
              <w:rPr>
                <w:rFonts w:ascii="Calibri" w:hAnsi="Calibri"/>
                <w:color w:val="FFFFFF"/>
                <w:sz w:val="19"/>
              </w:rPr>
              <w:t>Reference No.</w:t>
            </w:r>
          </w:p>
        </w:tc>
        <w:tc>
          <w:tcPr>
            <w:tcW w:type="dxa" w:w="4680"/>
            <w:shd w:fill="003366"/>
          </w:tcPr>
          <w:p>
            <w:pPr>
              <w:spacing w:before="60" w:after="60"/>
            </w:pPr>
            <w:hyperlink r:id="rId10">
              <w:r>
                <w:rPr>
                  <w:color w:val="004B87"/>
                  <w:u w:val="single"/>
                </w:rPr>
                <w:t xml:space="preserve">IITJ/OIE/2026-27/28</w:t>
              </w:r>
            </w:hyperlink>
            <w:r>
              <w:rPr>
                <w:rFonts w:ascii="Calibri" w:hAnsi="Calibri"/>
                <w:color w:val="FFFFFF"/>
                <w:sz w:val="19"/>
              </w:rPr>
              <w:t xml:space="preserve"> (1 MB)</w:t>
            </w:r>
          </w:p>
        </w:tc>
      </w:tr>
      <w:tr>
        <w:tc>
          <w:tcPr>
            <w:tcW w:type="dxa" w:w="4680"/>
            <w:shd w:fill="F5F8FA"/>
          </w:tcPr>
          <w:p>
            <w:pPr>
              <w:spacing w:before="60" w:after="60"/>
            </w:pPr>
            <w:r>
              <w:rPr>
                <w:rFonts w:ascii="Calibri" w:hAnsi="Calibri"/>
                <w:sz w:val="19"/>
              </w:rPr>
              <w:t>Date of Issue</w:t>
            </w:r>
          </w:p>
        </w:tc>
        <w:tc>
          <w:tcPr>
            <w:tcW w:type="dxa" w:w="4680"/>
            <w:shd w:fill="F5F8FA"/>
          </w:tcPr>
          <w:p>
            <w:pPr>
              <w:spacing w:before="60" w:after="60"/>
            </w:pPr>
            <w:r>
              <w:rPr>
                <w:rFonts w:ascii="Calibri" w:hAnsi="Calibri"/>
                <w:sz w:val="19"/>
              </w:rPr>
              <w:t>04-Aug-2026</w:t>
            </w:r>
          </w:p>
        </w:tc>
      </w:tr>
      <w:tr>
        <w:tc>
          <w:tcPr>
            <w:tcW w:type="dxa" w:w="4680"/>
          </w:tcPr>
          <w:p>
            <w:pPr>
              <w:spacing w:before="60" w:after="60"/>
            </w:pPr>
            <w:r>
              <w:rPr>
                <w:rFonts w:ascii="Calibri" w:hAnsi="Calibri"/>
                <w:sz w:val="19"/>
              </w:rPr>
              <w:t>Date of Due</w:t>
            </w:r>
          </w:p>
        </w:tc>
        <w:tc>
          <w:tcPr>
            <w:tcW w:type="dxa" w:w="4680"/>
          </w:tcPr>
          <w:p>
            <w:pPr>
              <w:spacing w:before="60" w:after="60"/>
            </w:pPr>
            <w:r>
              <w:rPr>
                <w:rFonts w:ascii="Calibri" w:hAnsi="Calibri"/>
                <w:sz w:val="19"/>
              </w:rPr>
              <w:t>25-Aug-2026</w:t>
            </w:r>
          </w:p>
        </w:tc>
      </w:tr>
    </w:tbl>
    <w:p>
      <w:pPr>
        <w:spacing w:before="0" w:after="120"/>
      </w:pPr>
    </w:p>
    <w:p>
      <w:pPr>
        <w:keepNext/>
        <w:spacing w:before="280" w:after="80"/>
      </w:pPr>
      <w:r>
        <w:rPr>
          <w:rFonts w:ascii="Calibri" w:hAnsi="Calibri"/>
          <w:color w:val="003366"/>
          <w:sz w:val="26"/>
        </w:rPr>
        <w:t>Co-working Spaces</w:t>
      </w:r>
    </w:p>
    <w:p>
      <w:pPr>
        <w:spacing w:before="0" w:after="100" w:line="276" w:lineRule="auto"/>
      </w:pPr>
      <w:r>
        <w:rPr>
          <w:rFonts w:ascii="Calibri" w:hAnsi="Calibri"/>
          <w:sz w:val="20"/>
        </w:rPr>
        <w:t>Flexible, professional co-working environments designed for collaboration and innovation.</w:t>
      </w:r>
    </w:p>
    <w:p>
      <w:pPr>
        <w:spacing w:before="0" w:after="100" w:line="276" w:lineRule="auto"/>
      </w:pPr>
      <w:r>
        <w:rPr>
          <w:rFonts w:ascii="Calibri" w:hAnsi="Calibri"/>
          <w:sz w:val="20"/>
        </w:rPr>
        <w:t>Monthly Rate: ₹2,000 + 18% GST</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11">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https://www.iitj.ac.in/PageImages/Gallery/01-2025/Booking-for-Internal-Sample-638727044829473292.pdf</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https://www.iitj.ac.in/PageImages/Tenders/08-2026/Miscellaneous-Civil-Works-at-RIG-SRIG-Lab-W-17-Berm-CRF-and-BSBE-Department-IIT-Jodhpur.-639215182449482912.pdf</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https://www.iitj.ac.in/aiot-fab-facility/en/aiot-fab-facility</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https://www.iitj.ac.in/tisc/en/facilities-resources</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https://www.iitj.ac.in/health-center/en/health-center</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https://www.iitj.ac.in/crf/en/booking-for-internal-sample</w:t>
        </w:r>
      </w:hyperlink>
    </w:p>
    <w:p>
      <w:pPr>
        <w:pStyle w:val="ListBullet"/>
        <w:spacing w:before="20" w:after="40"/>
      </w:pPr>
      <w:r>
        <w:rPr>
          <w:rFonts w:ascii="Calibri" w:hAnsi="Calibri"/>
          <w:sz w:val="20"/>
        </w:rPr>
        <w:t xml:space="preserve">Authoritative Source URL: </w:t>
      </w:r>
      <w:hyperlink r:id="rId16">
        <w:r>
          <w:rPr>
            <w:color w:val="004B87"/>
            <w:u w:val="single"/>
          </w:rPr>
          <w:t xml:space="preserve">https://www.iitj.ac.in/crf/en/crf</w:t>
        </w:r>
      </w:hyperlink>
    </w:p>
    <w:p>
      <w:pPr>
        <w:pStyle w:val="ListBullet"/>
        <w:spacing w:before="20" w:after="40"/>
      </w:pPr>
      <w:r>
        <w:rPr>
          <w:rFonts w:ascii="Calibri" w:hAnsi="Calibri"/>
          <w:sz w:val="20"/>
        </w:rPr>
        <w:t xml:space="preserve">Authoritative Source URL: </w:t>
      </w:r>
      <w:hyperlink r:id="rId17">
        <w:r>
          <w:rPr>
            <w:color w:val="004B87"/>
            <w:u w:val="single"/>
          </w:rPr>
          <w:t xml:space="preserve">https://www.iitj.ac.in/main/en/campus-infrastructure</w:t>
        </w:r>
      </w:hyperlink>
    </w:p>
    <w:p>
      <w:pPr>
        <w:pStyle w:val="ListBullet"/>
        <w:spacing w:before="20" w:after="40"/>
      </w:pPr>
      <w:r>
        <w:rPr>
          <w:rFonts w:ascii="Calibri" w:hAnsi="Calibri"/>
          <w:sz w:val="20"/>
        </w:rPr>
        <w:t xml:space="preserve">Authoritative Source URL: </w:t>
      </w:r>
      <w:hyperlink r:id="rId18">
        <w:r>
          <w:rPr>
            <w:color w:val="004B87"/>
            <w:u w:val="single"/>
          </w:rPr>
          <w:t xml:space="preserve">https://www.iitj.ac.in/office-of-students/en/hostels</w:t>
        </w:r>
      </w:hyperlink>
    </w:p>
    <w:p>
      <w:pPr>
        <w:pStyle w:val="ListBullet"/>
        <w:spacing w:before="20" w:after="40"/>
      </w:pPr>
      <w:r>
        <w:rPr>
          <w:rFonts w:ascii="Calibri" w:hAnsi="Calibri"/>
          <w:sz w:val="20"/>
        </w:rPr>
        <w:t xml:space="preserve">Authoritative Source URL: </w:t>
      </w:r>
      <w:hyperlink r:id="rId19">
        <w:r>
          <w:rPr>
            <w:color w:val="004B87"/>
            <w:u w:val="single"/>
          </w:rPr>
          <w:t xml:space="preserve">https://www.iitj.ac.in/centre-of-excellence-on-arts-and-digital-immersion/en/iitjxpati-artist-in-residency</w:t>
        </w:r>
      </w:hyperlink>
    </w:p>
    <w:p>
      <w:pPr>
        <w:pStyle w:val="ListBullet"/>
        <w:spacing w:before="20" w:after="40"/>
      </w:pPr>
      <w:r>
        <w:rPr>
          <w:rFonts w:ascii="Calibri" w:hAnsi="Calibri"/>
          <w:sz w:val="20"/>
        </w:rPr>
        <w:t xml:space="preserve">Authoritative Source URL: </w:t>
      </w:r>
      <w:hyperlink r:id="rId20">
        <w:r>
          <w:rPr>
            <w:color w:val="004B87"/>
            <w:u w:val="single"/>
          </w:rPr>
          <w:t xml:space="preserve">https://www.iitj.ac.in/Tenders</w:t>
        </w:r>
      </w:hyperlink>
    </w:p>
    <w:p>
      <w:pPr>
        <w:pStyle w:val="ListBullet"/>
        <w:spacing w:before="20" w:after="40"/>
      </w:pPr>
      <w:r>
        <w:rPr>
          <w:rFonts w:ascii="Calibri" w:hAnsi="Calibri"/>
          <w:sz w:val="20"/>
        </w:rPr>
        <w:t xml:space="preserve">Traceable Knowledge Units: </w:t>
      </w:r>
      <w:r>
        <w:rPr>
          <w:rFonts w:ascii="Consolas" w:hAnsi="Consolas"/>
          <w:color w:val="333333"/>
          <w:sz w:val="19"/>
        </w:rPr>
        <w:t>0953b3f67602f5e1</w:t>
      </w:r>
      <w:r>
        <w:rPr>
          <w:rFonts w:ascii="Calibri" w:hAnsi="Calibri"/>
          <w:sz w:val="20"/>
        </w:rPr>
        <w:t xml:space="preserve">, </w:t>
      </w:r>
      <w:r>
        <w:rPr>
          <w:rFonts w:ascii="Consolas" w:hAnsi="Consolas"/>
          <w:color w:val="333333"/>
          <w:sz w:val="19"/>
        </w:rPr>
        <w:t>14d704c9cb35c74b</w:t>
      </w:r>
      <w:r>
        <w:rPr>
          <w:rFonts w:ascii="Calibri" w:hAnsi="Calibri"/>
          <w:sz w:val="20"/>
        </w:rPr>
        <w:t xml:space="preserve">, </w:t>
      </w:r>
      <w:r>
        <w:rPr>
          <w:rFonts w:ascii="Consolas" w:hAnsi="Consolas"/>
          <w:color w:val="333333"/>
          <w:sz w:val="19"/>
        </w:rPr>
        <w:t>4735757f789487e5</w:t>
      </w:r>
      <w:r>
        <w:rPr>
          <w:rFonts w:ascii="Calibri" w:hAnsi="Calibri"/>
          <w:sz w:val="20"/>
        </w:rPr>
        <w:t xml:space="preserve">, </w:t>
      </w:r>
      <w:r>
        <w:rPr>
          <w:rFonts w:ascii="Consolas" w:hAnsi="Consolas"/>
          <w:color w:val="333333"/>
          <w:sz w:val="19"/>
        </w:rPr>
        <w:t>54c26a623b2adae4</w:t>
      </w:r>
      <w:r>
        <w:rPr>
          <w:rFonts w:ascii="Calibri" w:hAnsi="Calibri"/>
          <w:sz w:val="20"/>
        </w:rPr>
        <w:t xml:space="preserve">, </w:t>
      </w:r>
      <w:r>
        <w:rPr>
          <w:rFonts w:ascii="Consolas" w:hAnsi="Consolas"/>
          <w:color w:val="333333"/>
          <w:sz w:val="19"/>
        </w:rPr>
        <w:t>9473249e85008892</w:t>
      </w:r>
      <w:r>
        <w:rPr>
          <w:rFonts w:ascii="Calibri" w:hAnsi="Calibri"/>
          <w:sz w:val="20"/>
        </w:rPr>
        <w:t xml:space="preserve">, </w:t>
      </w:r>
      <w:r>
        <w:rPr>
          <w:rFonts w:ascii="Consolas" w:hAnsi="Consolas"/>
          <w:color w:val="333333"/>
          <w:sz w:val="19"/>
        </w:rPr>
        <w:t>a9e4bddb30637c4e</w:t>
      </w:r>
      <w:r>
        <w:rPr>
          <w:rFonts w:ascii="Calibri" w:hAnsi="Calibri"/>
          <w:sz w:val="20"/>
        </w:rPr>
        <w:t xml:space="preserve">, </w:t>
      </w:r>
      <w:r>
        <w:rPr>
          <w:rFonts w:ascii="Consolas" w:hAnsi="Consolas"/>
          <w:color w:val="333333"/>
          <w:sz w:val="19"/>
        </w:rPr>
        <w:t>bb44df9f9ae3dece</w:t>
      </w:r>
      <w:r>
        <w:rPr>
          <w:rFonts w:ascii="Calibri" w:hAnsi="Calibri"/>
          <w:sz w:val="20"/>
        </w:rPr>
        <w:t xml:space="preserve">, </w:t>
      </w:r>
      <w:r>
        <w:rPr>
          <w:rFonts w:ascii="Consolas" w:hAnsi="Consolas"/>
          <w:color w:val="333333"/>
          <w:sz w:val="19"/>
        </w:rPr>
        <w:t>e30fa5a385bef23a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itj.ac.in/PageImages/Gallery/01-2025/Booking-for-Internal-Sample-638727044829473292.pdf" TargetMode="External"/><Relationship Id="rId10" Type="http://schemas.openxmlformats.org/officeDocument/2006/relationships/hyperlink" Target="https://www.iitj.ac.in/PageImages/Tenders/08-2026/Miscellaneous-Civil-Works-at-RIG-SRIG-Lab-W-17-Berm-CRF-and-BSBE-Department-IIT-Jodhpur.-639215182449482912.pdf" TargetMode="External"/><Relationship Id="rId11" Type="http://schemas.openxmlformats.org/officeDocument/2006/relationships/hyperlink" Target="https://iitj.ac.in/" TargetMode="External"/><Relationship Id="rId12" Type="http://schemas.openxmlformats.org/officeDocument/2006/relationships/hyperlink" Target="https://www.iitj.ac.in/aiot-fab-facility/en/aiot-fab-facility" TargetMode="External"/><Relationship Id="rId13" Type="http://schemas.openxmlformats.org/officeDocument/2006/relationships/hyperlink" Target="https://www.iitj.ac.in/tisc/en/facilities-resources" TargetMode="External"/><Relationship Id="rId14" Type="http://schemas.openxmlformats.org/officeDocument/2006/relationships/hyperlink" Target="https://www.iitj.ac.in/health-center/en/health-center" TargetMode="External"/><Relationship Id="rId15" Type="http://schemas.openxmlformats.org/officeDocument/2006/relationships/hyperlink" Target="https://www.iitj.ac.in/crf/en/booking-for-internal-sample" TargetMode="External"/><Relationship Id="rId16" Type="http://schemas.openxmlformats.org/officeDocument/2006/relationships/hyperlink" Target="https://www.iitj.ac.in/crf/en/crf" TargetMode="External"/><Relationship Id="rId17" Type="http://schemas.openxmlformats.org/officeDocument/2006/relationships/hyperlink" Target="https://www.iitj.ac.in/main/en/campus-infrastructure" TargetMode="External"/><Relationship Id="rId18" Type="http://schemas.openxmlformats.org/officeDocument/2006/relationships/hyperlink" Target="https://www.iitj.ac.in/office-of-students/en/hostels" TargetMode="External"/><Relationship Id="rId19" Type="http://schemas.openxmlformats.org/officeDocument/2006/relationships/hyperlink" Target="https://www.iitj.ac.in/centre-of-excellence-on-arts-and-digital-immersion/en/iitjxpati-artist-in-residency" TargetMode="External"/><Relationship Id="rId20" Type="http://schemas.openxmlformats.org/officeDocument/2006/relationships/hyperlink" Target="https://www.iitj.ac.in/Tend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