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Design — Overview</w:t>
      </w:r>
    </w:p>
    <w:p>
      <w:pPr>
        <w:spacing w:before="0" w:after="280"/>
      </w:pPr>
      <w:r>
        <w:rPr>
          <w:rFonts w:ascii="Calibri" w:hAnsi="Calibri"/>
          <w:i/>
          <w:color w:val="666666"/>
          <w:sz w:val="20"/>
        </w:rPr>
        <w:t>Indian Institute of Technology Jodhpur  |  Category: schools/design</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Design — Overview at Indian Institute of Technology Jodhpur.</w:t>
      </w:r>
    </w:p>
    <w:p>
      <w:pPr>
        <w:keepNext/>
        <w:spacing w:before="280" w:after="80"/>
      </w:pPr>
      <w:r>
        <w:rPr>
          <w:rFonts w:ascii="Calibri" w:hAnsi="Calibri"/>
          <w:color w:val="003366"/>
          <w:sz w:val="26"/>
        </w:rPr>
        <w:t>Overview</w:t>
      </w:r>
    </w:p>
    <w:p>
      <w:pPr>
        <w:spacing w:before="0" w:after="100" w:line="276" w:lineRule="auto"/>
      </w:pPr>
      <w:r>
        <w:rPr>
          <w:rFonts w:ascii="Calibri" w:hAnsi="Calibri"/>
          <w:sz w:val="20"/>
        </w:rPr>
        <w:t>The MDes programs at the School of Design, IIT Jodhpur combine creativity, technology, and innovation to equip aspiring designers with the skills and industry exposure needed to push the boundaries of design. Whether you’re passionate about immersive experiences in XR Design or pioneering smart products for the future, this program provides the tools and expertise to bring your ideas to life. The School of Design, IIT Jodhpur currently offers two MDes programs: XR Design and Smart Product Design.</w:t>
      </w:r>
    </w:p>
    <w:p>
      <w:pPr>
        <w:spacing w:before="0" w:after="100" w:line="276" w:lineRule="auto"/>
      </w:pPr>
      <w:r>
        <w:rPr>
          <w:rFonts w:ascii="Calibri" w:hAnsi="Calibri"/>
          <w:sz w:val="20"/>
        </w:rPr>
        <w:t>######</w:t>
      </w:r>
    </w:p>
    <w:p>
      <w:pPr>
        <w:spacing w:before="0" w:after="100" w:line="276" w:lineRule="auto"/>
      </w:pPr>
      <w:r>
        <w:rPr>
          <w:rFonts w:ascii="Calibri" w:hAnsi="Calibri"/>
          <w:sz w:val="20"/>
        </w:rPr>
        <w:t>The PhD program in Design at the School of Design, IIT Jodhpur, encourages the participation of design practitioners, teachers, and aspiring design researchers in getting involved in design research activities and expanding the existing body of knowledge. The program focuses on conducting design research and projects in the overlapping fields of technology, science, engineering, humanities, education, arts and crafts through an interdisciplinary approach.</w:t>
      </w:r>
    </w:p>
    <w:p>
      <w:pPr>
        <w:spacing w:before="0" w:after="100" w:line="276" w:lineRule="auto"/>
      </w:pPr>
      <w:r>
        <w:rPr>
          <w:rFonts w:ascii="Calibri" w:hAnsi="Calibri"/>
          <w:sz w:val="20"/>
        </w:rPr>
        <w:t xml:space="preserve">Please Check the </w:t>
      </w:r>
      <w:hyperlink r:id="rId9">
        <w:r>
          <w:rPr>
            <w:color w:val="004B87"/>
            <w:u w:val="single"/>
          </w:rPr>
          <w:t xml:space="preserve">Rolling Advertisement</w:t>
        </w:r>
      </w:hyperlink>
      <w:r>
        <w:rPr>
          <w:rFonts w:ascii="Calibri" w:hAnsi="Calibri"/>
          <w:sz w:val="20"/>
        </w:rPr>
        <w:t>for Admission to PhD Programme</w:t>
      </w:r>
    </w:p>
    <w:p>
      <w:pPr>
        <w:spacing w:before="0" w:after="100" w:line="276" w:lineRule="auto"/>
      </w:pPr>
      <w:r>
        <w:rPr>
          <w:rFonts w:ascii="Calibri" w:hAnsi="Calibri"/>
          <w:sz w:val="20"/>
        </w:rPr>
        <w:t>Candidates are highly encouraged to familiarize themselves with the research areas of the faculty members before applying. Prospective students should get in touch with specific professors at the School of Design to talk about their research interests and gain a better understanding of the current research focus. It is highly recommended that candidates get in touch with the faculty members to establish their research interests prior to applying (a list of faculties accepting PhD candidates for the current academic year is given below).</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b/>
                <w:color w:val="FFFFFF"/>
                <w:sz w:val="19"/>
              </w:rPr>
              <w:t>Faculty Name</w:t>
            </w:r>
          </w:p>
        </w:tc>
        <w:tc>
          <w:tcPr>
            <w:tcW w:type="dxa" w:w="3120"/>
            <w:shd w:fill="003366"/>
          </w:tcPr>
          <w:p>
            <w:pPr>
              <w:spacing w:before="60" w:after="60"/>
            </w:pPr>
            <w:r>
              <w:rPr>
                <w:rFonts w:ascii="Calibri" w:hAnsi="Calibri"/>
                <w:b/>
                <w:color w:val="FFFFFF"/>
                <w:sz w:val="19"/>
              </w:rPr>
              <w:t>Email ID</w:t>
            </w:r>
          </w:p>
        </w:tc>
        <w:tc>
          <w:tcPr>
            <w:tcW w:type="dxa" w:w="3120"/>
            <w:shd w:fill="003366"/>
          </w:tcPr>
          <w:p>
            <w:pPr>
              <w:spacing w:before="60" w:after="60"/>
            </w:pPr>
            <w:r>
              <w:rPr>
                <w:rFonts w:ascii="Calibri" w:hAnsi="Calibri"/>
                <w:b/>
                <w:color w:val="FFFFFF"/>
                <w:sz w:val="19"/>
              </w:rPr>
              <w:t>Research Interest Areas</w:t>
            </w:r>
          </w:p>
        </w:tc>
      </w:tr>
      <w:tr>
        <w:tc>
          <w:tcPr>
            <w:tcW w:type="dxa" w:w="3120"/>
            <w:shd w:fill="F5F8FA"/>
          </w:tcPr>
          <w:p>
            <w:pPr>
              <w:spacing w:before="60" w:after="60"/>
            </w:pPr>
            <w:r>
              <w:rPr>
                <w:rFonts w:ascii="Calibri" w:hAnsi="Calibri"/>
                <w:sz w:val="19"/>
              </w:rPr>
              <w:t>Dr. Gaurav Vaidya</w:t>
            </w:r>
          </w:p>
        </w:tc>
        <w:tc>
          <w:tcPr>
            <w:tcW w:type="dxa" w:w="3120"/>
            <w:shd w:fill="F5F8FA"/>
          </w:tcPr>
          <w:p>
            <w:pPr>
              <w:spacing w:before="60" w:after="60"/>
            </w:pPr>
            <w:r>
              <w:rPr>
                <w:rFonts w:ascii="Calibri" w:hAnsi="Calibri"/>
                <w:sz w:val="19"/>
              </w:rPr>
              <w:t>gauravvaidya@iitj.ac.in</w:t>
            </w:r>
          </w:p>
        </w:tc>
        <w:tc>
          <w:tcPr>
            <w:tcW w:type="dxa" w:w="3120"/>
            <w:shd w:fill="F5F8FA"/>
          </w:tcPr>
          <w:p>
            <w:pPr>
              <w:spacing w:before="60" w:after="60"/>
            </w:pPr>
            <w:r>
              <w:rPr>
                <w:rFonts w:ascii="Calibri" w:hAnsi="Calibri"/>
                <w:sz w:val="19"/>
              </w:rPr>
              <w:t>Industrial Design, Emotional Design, New Product Innovation, Product Styling and Perception, Creativity &amp; Idea Generation, Computer-Aided Design, Product Form and Aesthetics, Product Prototyping, Craft Culture Design and Development, Toy Design, Furniture and Space Design, Design Methods.</w:t>
            </w:r>
          </w:p>
        </w:tc>
      </w:tr>
      <w:tr>
        <w:tc>
          <w:tcPr>
            <w:tcW w:type="dxa" w:w="3120"/>
          </w:tcPr>
          <w:p>
            <w:pPr>
              <w:spacing w:before="60" w:after="60"/>
            </w:pPr>
            <w:r>
              <w:rPr>
                <w:rFonts w:ascii="Calibri" w:hAnsi="Calibri"/>
                <w:sz w:val="19"/>
              </w:rPr>
              <w:t>Dr. Kedar Dicholkar</w:t>
            </w:r>
          </w:p>
        </w:tc>
        <w:tc>
          <w:tcPr>
            <w:tcW w:type="dxa" w:w="3120"/>
          </w:tcPr>
          <w:p>
            <w:pPr>
              <w:spacing w:before="60" w:after="60"/>
            </w:pPr>
            <w:r>
              <w:rPr>
                <w:rFonts w:ascii="Calibri" w:hAnsi="Calibri"/>
                <w:sz w:val="19"/>
              </w:rPr>
              <w:t>kedard@iitj.ac.in</w:t>
            </w:r>
          </w:p>
        </w:tc>
        <w:tc>
          <w:tcPr>
            <w:tcW w:type="dxa" w:w="3120"/>
          </w:tcPr>
          <w:p>
            <w:pPr>
              <w:spacing w:before="60" w:after="60"/>
            </w:pPr>
            <w:r>
              <w:rPr>
                <w:rFonts w:ascii="Calibri" w:hAnsi="Calibri"/>
                <w:sz w:val="19"/>
              </w:rPr>
              <w:t>Interaction design; User experience design; visual culture and narrative systems; interactive storytelling; game design; experimental and new media art; design aesthetics; art, craft, practice-based research.</w:t>
            </w:r>
          </w:p>
        </w:tc>
      </w:tr>
      <w:tr>
        <w:tc>
          <w:tcPr>
            <w:tcW w:type="dxa" w:w="3120"/>
            <w:shd w:fill="F5F8FA"/>
          </w:tcPr>
          <w:p>
            <w:pPr>
              <w:spacing w:before="60" w:after="60"/>
            </w:pPr>
            <w:r>
              <w:rPr>
                <w:rFonts w:ascii="Calibri" w:hAnsi="Calibri"/>
                <w:sz w:val="19"/>
              </w:rPr>
              <w:t>Dr. Pranjal Protim Borah</w:t>
            </w:r>
          </w:p>
        </w:tc>
        <w:tc>
          <w:tcPr>
            <w:tcW w:type="dxa" w:w="3120"/>
            <w:shd w:fill="F5F8FA"/>
          </w:tcPr>
          <w:p>
            <w:pPr>
              <w:spacing w:before="60" w:after="60"/>
            </w:pPr>
            <w:r>
              <w:rPr>
                <w:rFonts w:ascii="Calibri" w:hAnsi="Calibri"/>
                <w:sz w:val="19"/>
              </w:rPr>
              <w:t>pranjalborah@iitj.ac.in</w:t>
            </w:r>
          </w:p>
        </w:tc>
        <w:tc>
          <w:tcPr>
            <w:tcW w:type="dxa" w:w="3120"/>
            <w:shd w:fill="F5F8FA"/>
          </w:tcPr>
          <w:p>
            <w:pPr>
              <w:spacing w:before="60" w:after="60"/>
            </w:pPr>
            <w:r>
              <w:rPr>
                <w:rFonts w:ascii="Calibri" w:hAnsi="Calibri"/>
                <w:sz w:val="19"/>
              </w:rPr>
              <w:t>Human-computer Interaction (HCI), Human-robot Interaction (HRI), Interaction Techniques, Gesture-based Interaction, Haptics, Tangible and Haptic User Interfaces, Multi-sensory User Experience Design, Extended Reality (XR), Ageing and Accessibility, Inclusive Design, Game Design, and Machine Learning (ML).</w:t>
            </w:r>
          </w:p>
        </w:tc>
      </w:tr>
      <w:tr>
        <w:tc>
          <w:tcPr>
            <w:tcW w:type="dxa" w:w="3120"/>
          </w:tcPr>
          <w:p>
            <w:pPr>
              <w:spacing w:before="60" w:after="60"/>
            </w:pPr>
            <w:r>
              <w:rPr>
                <w:rFonts w:ascii="Calibri" w:hAnsi="Calibri"/>
                <w:sz w:val="19"/>
              </w:rPr>
              <w:t>Dr. Priyabrata Rautray</w:t>
            </w:r>
          </w:p>
        </w:tc>
        <w:tc>
          <w:tcPr>
            <w:tcW w:type="dxa" w:w="3120"/>
          </w:tcPr>
          <w:p>
            <w:pPr>
              <w:spacing w:before="60" w:after="60"/>
            </w:pPr>
            <w:r>
              <w:rPr>
                <w:rFonts w:ascii="Calibri" w:hAnsi="Calibri"/>
                <w:sz w:val="19"/>
              </w:rPr>
              <w:t>priyabratarautray@iitj.ac.in</w:t>
            </w:r>
          </w:p>
        </w:tc>
        <w:tc>
          <w:tcPr>
            <w:tcW w:type="dxa" w:w="3120"/>
          </w:tcPr>
          <w:p>
            <w:pPr>
              <w:spacing w:before="60" w:after="60"/>
            </w:pPr>
            <w:r>
              <w:rPr>
                <w:rFonts w:ascii="Calibri" w:hAnsi="Calibri"/>
                <w:sz w:val="19"/>
              </w:rPr>
              <w:t>User Centered Design, Sustainable architecture and design solutions, Design research and Frugal Design, Product Design and Rapid Prototyping, Installation, 3D scanning and digital documentation (Photogrammetry).</w:t>
            </w:r>
          </w:p>
        </w:tc>
      </w:tr>
      <w:tr>
        <w:tc>
          <w:tcPr>
            <w:tcW w:type="dxa" w:w="3120"/>
            <w:shd w:fill="F5F8FA"/>
          </w:tcPr>
          <w:p>
            <w:pPr>
              <w:spacing w:before="60" w:after="60"/>
            </w:pPr>
            <w:r>
              <w:rPr>
                <w:rFonts w:ascii="Calibri" w:hAnsi="Calibri"/>
                <w:sz w:val="19"/>
              </w:rPr>
              <w:t>Dr. Sajan Pillai</w:t>
            </w:r>
          </w:p>
        </w:tc>
        <w:tc>
          <w:tcPr>
            <w:tcW w:type="dxa" w:w="3120"/>
            <w:shd w:fill="F5F8FA"/>
          </w:tcPr>
          <w:p>
            <w:pPr>
              <w:spacing w:before="60" w:after="60"/>
            </w:pPr>
            <w:r>
              <w:rPr>
                <w:rFonts w:ascii="Calibri" w:hAnsi="Calibri"/>
                <w:sz w:val="19"/>
              </w:rPr>
              <w:t>sajanpillai@iitj.ac.in</w:t>
            </w:r>
          </w:p>
        </w:tc>
        <w:tc>
          <w:tcPr>
            <w:tcW w:type="dxa" w:w="3120"/>
            <w:shd w:fill="F5F8FA"/>
          </w:tcPr>
          <w:p>
            <w:pPr>
              <w:spacing w:before="60" w:after="60"/>
            </w:pPr>
            <w:r>
              <w:rPr>
                <w:rFonts w:ascii="Calibri" w:hAnsi="Calibri"/>
                <w:sz w:val="19"/>
              </w:rPr>
              <w:t>User Experience, UX Strategy, Inclusive and Accessible Design, and Design for Emerging Technologies.</w:t>
            </w:r>
          </w:p>
        </w:tc>
      </w:tr>
      <w:tr>
        <w:tc>
          <w:tcPr>
            <w:tcW w:type="dxa" w:w="3120"/>
          </w:tcPr>
          <w:p>
            <w:pPr>
              <w:spacing w:before="60" w:after="60"/>
            </w:pPr>
            <w:r>
              <w:rPr>
                <w:rFonts w:ascii="Calibri" w:hAnsi="Calibri"/>
                <w:sz w:val="19"/>
              </w:rPr>
              <w:t>Dr. Shiv Kumar Verma</w:t>
            </w:r>
          </w:p>
        </w:tc>
        <w:tc>
          <w:tcPr>
            <w:tcW w:type="dxa" w:w="3120"/>
          </w:tcPr>
          <w:p>
            <w:pPr>
              <w:spacing w:before="60" w:after="60"/>
            </w:pPr>
            <w:r>
              <w:rPr>
                <w:rFonts w:ascii="Calibri" w:hAnsi="Calibri"/>
                <w:sz w:val="19"/>
              </w:rPr>
              <w:t>skv@iitj.ac.in</w:t>
            </w:r>
          </w:p>
        </w:tc>
        <w:tc>
          <w:tcPr>
            <w:tcW w:type="dxa" w:w="3120"/>
          </w:tcPr>
          <w:p>
            <w:pPr>
              <w:spacing w:before="60" w:after="60"/>
            </w:pPr>
            <w:r>
              <w:rPr>
                <w:rFonts w:ascii="Calibri" w:hAnsi="Calibri"/>
                <w:sz w:val="19"/>
              </w:rPr>
              <w:t>Industrial Design, Design Methodology, Form Studies, Design Education and Pedagogy, Product Semantics, Design &amp; Nature, and Organic/Biomorphic Design</w:t>
            </w:r>
          </w:p>
        </w:tc>
      </w:tr>
      <w:tr>
        <w:tc>
          <w:tcPr>
            <w:tcW w:type="dxa" w:w="3120"/>
            <w:shd w:fill="F5F8FA"/>
          </w:tcPr>
          <w:p>
            <w:pPr>
              <w:spacing w:before="60" w:after="60"/>
            </w:pPr>
            <w:r>
              <w:rPr>
                <w:rFonts w:ascii="Calibri" w:hAnsi="Calibri"/>
                <w:sz w:val="19"/>
              </w:rPr>
              <w:t>Dr. Sumana Som</w:t>
            </w:r>
          </w:p>
        </w:tc>
        <w:tc>
          <w:tcPr>
            <w:tcW w:type="dxa" w:w="3120"/>
            <w:shd w:fill="F5F8FA"/>
          </w:tcPr>
          <w:p>
            <w:pPr>
              <w:spacing w:before="60" w:after="60"/>
            </w:pPr>
            <w:r>
              <w:rPr>
                <w:rFonts w:ascii="Calibri" w:hAnsi="Calibri"/>
                <w:sz w:val="19"/>
              </w:rPr>
              <w:t>sumanasom@iitj.ac.in</w:t>
            </w:r>
          </w:p>
        </w:tc>
        <w:tc>
          <w:tcPr>
            <w:tcW w:type="dxa" w:w="3120"/>
            <w:shd w:fill="F5F8FA"/>
          </w:tcPr>
          <w:p>
            <w:pPr>
              <w:spacing w:before="60" w:after="60"/>
            </w:pPr>
            <w:r>
              <w:rPr>
                <w:rFonts w:ascii="Calibri" w:hAnsi="Calibri"/>
                <w:sz w:val="19"/>
              </w:rPr>
              <w:t>Content design in XR technology, User interface design in XR, Visual culture, Storytelling and interactivity in visual narratives, Experimental art practice, Design aesthetics, New media art, Art, craft, and toy design, Game design, Research design in creative practice, Practice-based research.</w:t>
            </w:r>
          </w:p>
        </w:tc>
      </w:tr>
    </w:tbl>
    <w:p>
      <w:pPr>
        <w:spacing w:before="0" w:after="120"/>
      </w:pPr>
    </w:p>
    <w:p>
      <w:pPr>
        <w:spacing w:before="0" w:after="100" w:line="276" w:lineRule="auto"/>
      </w:pPr>
      <w:r>
        <w:rPr>
          <w:rFonts w:ascii="Calibri" w:hAnsi="Calibri"/>
          <w:sz w:val="20"/>
        </w:rPr>
        <w:t>The world around us is undergoing a dramatic transformation. We are increasingly interconnected, with a growing number of everyday products evolving into intelligent companions. The M.Des. in Smart Product Design is crafted to meet the growing demand for professionals who can create innovative, user-centric products that harness the power of smart technology. This program bridges the gap between cutting-edge technologies, user experience (UX) principles, and design methodology. We aim to delve into the world of smart products, from connected devices to AI-powered systems, learning to design seamless interactions that leverage technology’s power and enrich people's lives.</w:t>
      </w:r>
    </w:p>
    <w:p>
      <w:pPr>
        <w:spacing w:before="0" w:after="100" w:line="276" w:lineRule="auto"/>
      </w:pPr>
      <w:r>
        <w:rPr>
          <w:rFonts w:ascii="Calibri" w:hAnsi="Calibri"/>
          <w:sz w:val="20"/>
        </w:rPr>
        <w:t>This program is ideal for aspiring designers passionate about innovation and eager to push the boundaries of physical and digital experiences. As the world embraces smart technology, the demand for skilled designers who can create user-centred, intuitive, and intelligent products is skyrocketing. The M.Des. in Smart Product Design will prepare future designers to be leaders in this dynamic field, shaping the future of how we interact with the world around us.</w:t>
      </w:r>
    </w:p>
    <w:p>
      <w:pPr>
        <w:keepNext/>
        <w:spacing w:before="280" w:after="80"/>
      </w:pPr>
      <w:r>
        <w:rPr>
          <w:rFonts w:ascii="Calibri" w:hAnsi="Calibri"/>
          <w:color w:val="003366"/>
          <w:sz w:val="26"/>
        </w:rPr>
        <w:t>Welcome To The School of Design</w:t>
      </w:r>
    </w:p>
    <w:p>
      <w:pPr>
        <w:spacing w:before="0" w:after="100" w:line="276" w:lineRule="auto"/>
      </w:pPr>
      <w:r>
        <w:rPr>
          <w:rFonts w:ascii="Calibri" w:hAnsi="Calibri"/>
          <w:sz w:val="20"/>
        </w:rPr>
        <w:t>The School of Design at the Indian Institute of Technology (IIT) Jodhpur welcomes you into its esteemed community of creative minds and problem solvers. While you embark on this creative journey, prepare to engage in dynamic discourse, challenge paradigms, and collaborate with faculty and peers, forging new frontiers in design and its application.</w:t>
      </w:r>
    </w:p>
    <w:p>
      <w:pPr>
        <w:spacing w:before="0" w:after="100" w:line="276" w:lineRule="auto"/>
      </w:pPr>
      <w:r>
        <w:rPr>
          <w:rFonts w:ascii="Calibri" w:hAnsi="Calibri"/>
          <w:sz w:val="20"/>
        </w:rPr>
        <w:t>We have been inspired by a collective vision to establish a school that goes beyond conventional problem-solving through design, fostering a culture of innovation, sustainability, and consultancy. We aim to create an ecosystem where creativity converges with purpose, giving rise to groundbreaking design solutions that address contemporary challenges.</w:t>
      </w:r>
    </w:p>
    <w:p>
      <w:pPr>
        <w:spacing w:before="0" w:after="100" w:line="276" w:lineRule="auto"/>
      </w:pPr>
      <w:r>
        <w:rPr>
          <w:rFonts w:ascii="Calibri" w:hAnsi="Calibri"/>
          <w:sz w:val="20"/>
        </w:rPr>
        <w:t xml:space="preserve">Admissions: </w:t>
      </w:r>
      <w:hyperlink r:id="rId10">
        <w:r>
          <w:rPr>
            <w:color w:val="004B87"/>
            <w:u w:val="single"/>
          </w:rPr>
          <w:t xml:space="preserve">M.Des in Smart Product Design and XR Design NEW</w:t>
        </w:r>
      </w:hyperlink>
      <w:r>
        <w:rPr>
          <w:rFonts w:ascii="Calibri" w:hAnsi="Calibri"/>
          <w:sz w:val="20"/>
        </w:rPr>
        <w:t xml:space="preserve"> "M.Des. XR Design") </w:t>
      </w:r>
      <w:hyperlink r:id="rId11">
        <w:r>
          <w:rPr>
            <w:color w:val="004B87"/>
            <w:u w:val="single"/>
          </w:rPr>
          <w:t xml:space="preserve">Ph.D. Program in Design</w:t>
        </w:r>
      </w:hyperlink>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2">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https://www.iitj.ac.in/admission-postgraduate-programs/en/Rolling-advertisement-for-Admission-to-Interdisciplinary-and-Ph.D.-Programmes?ep=fw</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https://www.iitj.ac.in/school-of-design/en/masters-of-design-\(mdes\</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https://www.iitj.ac.in/school-of-design/en/masters-of-design-(mdes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https://www.iitj.ac.in/school-of-design/en/admission-phd-program-in-design</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https://www.iitj.ac.in/school-of-design</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https://www.iitj.ac.in/school-of-design/en/mdes-in-smart-product-design</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https://www.iitj.ac.in/school-of-design/en/school-of-design</w:t>
        </w:r>
      </w:hyperlink>
    </w:p>
    <w:p>
      <w:pPr>
        <w:pStyle w:val="ListBullet"/>
        <w:spacing w:before="20" w:after="40"/>
      </w:pPr>
      <w:r>
        <w:rPr>
          <w:rFonts w:ascii="Calibri" w:hAnsi="Calibri"/>
          <w:sz w:val="20"/>
        </w:rPr>
        <w:t xml:space="preserve">Traceable Knowledge Units: </w:t>
      </w:r>
      <w:r>
        <w:rPr>
          <w:rFonts w:ascii="Consolas" w:hAnsi="Consolas"/>
          <w:color w:val="333333"/>
          <w:sz w:val="19"/>
        </w:rPr>
        <w:t>21c07c8c95a7821a</w:t>
      </w:r>
      <w:r>
        <w:rPr>
          <w:rFonts w:ascii="Calibri" w:hAnsi="Calibri"/>
          <w:sz w:val="20"/>
        </w:rPr>
        <w:t xml:space="preserve">, </w:t>
      </w:r>
      <w:r>
        <w:rPr>
          <w:rFonts w:ascii="Consolas" w:hAnsi="Consolas"/>
          <w:color w:val="333333"/>
          <w:sz w:val="19"/>
        </w:rPr>
        <w:t>42c44e0002c9154b</w:t>
      </w:r>
      <w:r>
        <w:rPr>
          <w:rFonts w:ascii="Calibri" w:hAnsi="Calibri"/>
          <w:sz w:val="20"/>
        </w:rPr>
        <w:t xml:space="preserve">, </w:t>
      </w:r>
      <w:r>
        <w:rPr>
          <w:rFonts w:ascii="Consolas" w:hAnsi="Consolas"/>
          <w:color w:val="333333"/>
          <w:sz w:val="19"/>
        </w:rPr>
        <w:t>6e85a573d5fae1a3</w:t>
      </w:r>
      <w:r>
        <w:rPr>
          <w:rFonts w:ascii="Calibri" w:hAnsi="Calibri"/>
          <w:sz w:val="20"/>
        </w:rPr>
        <w:t xml:space="preserve">, </w:t>
      </w:r>
      <w:r>
        <w:rPr>
          <w:rFonts w:ascii="Consolas" w:hAnsi="Consolas"/>
          <w:color w:val="333333"/>
          <w:sz w:val="19"/>
        </w:rPr>
        <w:t>b47e07d6e8394a2f</w:t>
      </w:r>
      <w:r>
        <w:rPr>
          <w:rFonts w:ascii="Calibri" w:hAnsi="Calibri"/>
          <w:sz w:val="20"/>
        </w:rPr>
        <w:t xml:space="preserve">, </w:t>
      </w:r>
      <w:r>
        <w:rPr>
          <w:rFonts w:ascii="Consolas" w:hAnsi="Consolas"/>
          <w:color w:val="333333"/>
          <w:sz w:val="19"/>
        </w:rPr>
        <w:t>eef2a6b51b99805d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admission-postgraduate-programs/en/Rolling-advertisement-for-Admission-to-Interdisciplinary-and-Ph.D.-Programmes?ep=fw" TargetMode="External"/><Relationship Id="rId10" Type="http://schemas.openxmlformats.org/officeDocument/2006/relationships/hyperlink" Target="https://www.iitj.ac.in/school-of-design/en/masters-of-design-%5C(mdes%5C" TargetMode="External"/><Relationship Id="rId11" Type="http://schemas.openxmlformats.org/officeDocument/2006/relationships/hyperlink" Target="https://www.iitj.ac.in/admission-postgraduate-programs/en/Rolling-advertisement-for-Admission-to-Interdisciplinary-and-Ph.D.-Programmes?ep=fw%20%22PhD%20program%20in%20Design%22" TargetMode="External"/><Relationship Id="rId12" Type="http://schemas.openxmlformats.org/officeDocument/2006/relationships/hyperlink" Target="https://iitj.ac.in/" TargetMode="External"/><Relationship Id="rId13" Type="http://schemas.openxmlformats.org/officeDocument/2006/relationships/hyperlink" Target="https://www.iitj.ac.in/school-of-design/en/masters-of-design-(mdes" TargetMode="External"/><Relationship Id="rId14" Type="http://schemas.openxmlformats.org/officeDocument/2006/relationships/hyperlink" Target="https://www.iitj.ac.in/school-of-design/en/admission-phd-program-in-design" TargetMode="External"/><Relationship Id="rId15" Type="http://schemas.openxmlformats.org/officeDocument/2006/relationships/hyperlink" Target="https://www.iitj.ac.in/school-of-design" TargetMode="External"/><Relationship Id="rId16" Type="http://schemas.openxmlformats.org/officeDocument/2006/relationships/hyperlink" Target="https://www.iitj.ac.in/school-of-design/en/mdes-in-smart-product-design" TargetMode="External"/><Relationship Id="rId17" Type="http://schemas.openxmlformats.org/officeDocument/2006/relationships/hyperlink" Target="https://www.iitj.ac.in/school-of-design/en/school-of-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