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003366"/>
          <w:sz w:val="40"/>
        </w:rPr>
        <w:t>School of Liberal Arts — Curriculum</w:t>
      </w:r>
    </w:p>
    <w:p>
      <w:pPr>
        <w:spacing w:before="0" w:after="280"/>
      </w:pPr>
      <w:r>
        <w:rPr>
          <w:rFonts w:ascii="Calibri" w:hAnsi="Calibri"/>
          <w:i/>
          <w:color w:val="666666"/>
          <w:sz w:val="20"/>
        </w:rPr>
        <w:t>Indian Institute of Technology Jodhpur  |  Category: schools/liberal_arts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Scope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Authoritative institutional knowledge for School of Liberal Arts — Curriculum at Indian Institute of Technology Jodhpur.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B. Preparatory Courses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The faculty members of the English group also teach the following:</w:t>
      </w:r>
    </w:p>
    <w:p>
      <w:pPr>
        <w:pStyle w:val="ListNumber"/>
        <w:spacing w:before="20" w:after="40"/>
      </w:pPr>
      <w:r>
        <w:rPr>
          <w:rFonts w:ascii="Calibri" w:hAnsi="Calibri"/>
          <w:sz w:val="20"/>
        </w:rPr>
        <w:t>Preparatory English I</w:t>
      </w:r>
    </w:p>
    <w:p>
      <w:pPr>
        <w:pStyle w:val="ListNumber"/>
        <w:spacing w:before="20" w:after="40"/>
      </w:pPr>
      <w:r>
        <w:rPr>
          <w:rFonts w:ascii="Calibri" w:hAnsi="Calibri"/>
          <w:sz w:val="20"/>
        </w:rPr>
        <w:t>Preparatory English II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Undergraduate Courses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The School of Liberal Arts offers a number of courses for undergraduate students.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A. Compulsory Non-Graded Courses for BTech Students</w:t>
      </w:r>
    </w:p>
    <w:p>
      <w:pPr>
        <w:pStyle w:val="ListNumber"/>
        <w:spacing w:before="20" w:after="40"/>
      </w:pPr>
      <w:r>
        <w:rPr>
          <w:rFonts w:ascii="Calibri" w:hAnsi="Calibri"/>
          <w:sz w:val="20"/>
        </w:rPr>
        <w:t>Professional Communication I and II for all first-year B.Tech. programmes</w:t>
      </w:r>
    </w:p>
    <w:p>
      <w:pPr>
        <w:pStyle w:val="ListNumber"/>
        <w:spacing w:before="20" w:after="40"/>
      </w:pPr>
      <w:r>
        <w:rPr>
          <w:rFonts w:ascii="Calibri" w:hAnsi="Calibri"/>
          <w:sz w:val="20"/>
        </w:rPr>
        <w:t>Professional Ethics I and II for all B.Tech. programmes</w:t>
      </w:r>
    </w:p>
    <w:p>
      <w:pPr>
        <w:pStyle w:val="ListNumber"/>
        <w:spacing w:before="20" w:after="40"/>
      </w:pPr>
      <w:r>
        <w:rPr>
          <w:rFonts w:ascii="Calibri" w:hAnsi="Calibri"/>
          <w:sz w:val="20"/>
        </w:rPr>
        <w:t>Social Connect and Responsibility I and II (co-taught by faculty members from SoLA with other Departments)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Official Sources and Provenance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Canonical Institution: </w:t>
      </w:r>
      <w:hyperlink r:id="rId9">
        <w:r>
          <w:rPr>
            <w:color w:val="004B87"/>
            <w:u w:val="single"/>
          </w:rPr>
          <w:t xml:space="preserve">Indian Institute of Technology Jodhpur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10">
        <w:r>
          <w:rPr>
            <w:color w:val="004B87"/>
            <w:u w:val="single"/>
          </w:rPr>
          <w:t xml:space="preserve">https://www.iitj.ac.in/school-of-liberal-arts/en/undergraduate-courses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Traceable Knowledge Units: </w:t>
      </w:r>
      <w:r>
        <w:rPr>
          <w:rFonts w:ascii="Consolas" w:hAnsi="Consolas"/>
          <w:color w:val="333333"/>
          <w:sz w:val="19"/>
        </w:rPr>
        <w:t>4359ebb0cc0a405d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iitj.ac.in/" TargetMode="External"/><Relationship Id="rId10" Type="http://schemas.openxmlformats.org/officeDocument/2006/relationships/hyperlink" Target="https://www.iitj.ac.in/school-of-liberal-arts/en/undergraduate-cours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