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Liberal Arts — General Information</w:t>
      </w:r>
    </w:p>
    <w:p>
      <w:pPr>
        <w:spacing w:before="0" w:after="280"/>
      </w:pPr>
      <w:r>
        <w:rPr>
          <w:rFonts w:ascii="Calibri" w:hAnsi="Calibri"/>
          <w:i/>
          <w:color w:val="666666"/>
          <w:sz w:val="20"/>
        </w:rPr>
        <w:t>Indian Institute of Technology Jodhpur  |  Category: schools/liberal_arts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Liberal Arts — General Information at Indian Institute of Technology Jodhpur.</w:t>
      </w:r>
    </w:p>
    <w:p>
      <w:pPr>
        <w:keepNext/>
        <w:spacing w:before="280" w:after="80"/>
      </w:pPr>
      <w:r>
        <w:rPr>
          <w:rFonts w:ascii="Calibri" w:hAnsi="Calibri"/>
          <w:color w:val="003366"/>
          <w:sz w:val="26"/>
        </w:rPr>
        <w:t>Patchikolla Prudhvi</w:t>
      </w:r>
    </w:p>
    <w:p>
      <w:pPr>
        <w:spacing w:before="0" w:after="100" w:line="276" w:lineRule="auto"/>
      </w:pPr>
      <w:r>
        <w:rPr>
          <w:rFonts w:ascii="Calibri" w:hAnsi="Calibri"/>
          <w:b/>
          <w:sz w:val="20"/>
        </w:rPr>
        <w:t>Research Interest:</w:t>
      </w:r>
      <w:r>
        <w:rPr>
          <w:rFonts w:ascii="Calibri" w:hAnsi="Calibri"/>
          <w:sz w:val="20"/>
        </w:rPr>
        <w:t xml:space="preserve"> AI &amp; ML, Digital trace Data Analytics, Social Network Analysis</w:t>
      </w:r>
    </w:p>
    <w:p>
      <w:pPr>
        <w:spacing w:before="0" w:after="100" w:line="276" w:lineRule="auto"/>
      </w:pPr>
      <w:r>
        <w:rPr>
          <w:rFonts w:ascii="Calibri" w:hAnsi="Calibri"/>
          <w:b/>
          <w:sz w:val="20"/>
        </w:rPr>
        <w:t>Email:</w:t>
      </w:r>
      <w:r>
        <w:rPr>
          <w:rFonts w:ascii="Calibri" w:hAnsi="Calibri"/>
          <w:sz w:val="20"/>
        </w:rPr>
        <w:t xml:space="preserve"> m23la1017@iitj.ac.in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Jayprakash Show</w:t>
      </w:r>
    </w:p>
    <w:p>
      <w:pPr>
        <w:spacing w:before="0" w:after="100" w:line="276" w:lineRule="auto"/>
      </w:pPr>
      <w:r>
        <w:rPr>
          <w:rFonts w:ascii="Calibri" w:hAnsi="Calibri"/>
          <w:sz w:val="20"/>
        </w:rPr>
        <w:t>Presented a paper on, “Narrative Self and Cultural Context,” at the Graduate Research Meet by Humanities and Social Sciences, Indian Institute of Technology Guwahati, on 7 January 2023.</w:t>
      </w:r>
    </w:p>
    <w:p>
      <w:pPr>
        <w:spacing w:before="0" w:after="100" w:line="276" w:lineRule="auto"/>
      </w:pPr>
      <w:r>
        <w:rPr>
          <w:rFonts w:ascii="Calibri" w:hAnsi="Calibri"/>
          <w:sz w:val="20"/>
        </w:rPr>
        <w:t>Presented a paper on, “Narrative Self: Uses of Reward to Describe Ourselves,” at the 95th Indian Philosophical Congress on 29 December 2022.</w:t>
      </w:r>
    </w:p>
    <w:p>
      <w:pPr>
        <w:keepNext/>
        <w:spacing w:before="280" w:after="80"/>
      </w:pPr>
      <w:r>
        <w:rPr>
          <w:rFonts w:ascii="Calibri" w:hAnsi="Calibri"/>
          <w:color w:val="003366"/>
          <w:sz w:val="26"/>
        </w:rPr>
        <w:t>Mission</w:t>
      </w:r>
    </w:p>
    <w:p>
      <w:pPr>
        <w:spacing w:before="0" w:after="100" w:line="276" w:lineRule="auto"/>
      </w:pPr>
      <w:r>
        <w:rPr>
          <w:rFonts w:ascii="Calibri" w:hAnsi="Calibri"/>
          <w:sz w:val="20"/>
        </w:rPr>
        <w:t>The SoLA at IIT Jodhpur has been founded on the principles that quality education in the Liberal Arts is a primary requisite for solving the multidimensional challenges that our current and future generations face. In operationalizing this core principle, the research, pedagogy, and outreach at the SoLA will be life-cantered with a particular emphasis on recognizing and amplifying disciplinary intersections in the Creative Arts, Humanities, Social Sciences, Natural Sciences and Technologies. To achieve this goal, the SoLA will have the following objectives:</w:t>
      </w:r>
    </w:p>
    <w:p>
      <w:pPr>
        <w:keepNext/>
        <w:spacing w:before="280" w:after="80"/>
      </w:pPr>
      <w:r>
        <w:rPr>
          <w:rFonts w:ascii="Calibri" w:hAnsi="Calibri"/>
          <w:color w:val="003366"/>
          <w:sz w:val="26"/>
        </w:rPr>
        <w:t>Parnika Agarwal</w:t>
      </w:r>
    </w:p>
    <w:p>
      <w:pPr>
        <w:spacing w:before="0" w:after="100" w:line="276" w:lineRule="auto"/>
      </w:pPr>
      <w:r>
        <w:rPr>
          <w:rFonts w:ascii="Calibri" w:hAnsi="Calibri"/>
          <w:sz w:val="20"/>
        </w:rPr>
        <w:t>Presented a paper on, “Cine-buildings and the Question of Access: Interdisciplinary Interventions through ‘Space’” at the Graduate Research Meet by Humanities and Social Sciences, Indian Institute of Technology Guwahati on 6 January 2023.</w:t>
      </w:r>
    </w:p>
    <w:p>
      <w:pPr>
        <w:keepNext/>
        <w:spacing w:before="280" w:after="80"/>
      </w:pPr>
      <w:r>
        <w:rPr>
          <w:rFonts w:ascii="Calibri" w:hAnsi="Calibri"/>
          <w:color w:val="003366"/>
          <w:sz w:val="26"/>
        </w:rPr>
        <w:t>Philosophy</w:t>
      </w:r>
    </w:p>
    <w:tbl>
      <w:tblPr>
        <w:tblStyle w:val="TableGrid"/>
        <w:tblW w:type="auto" w:w="0"/>
        <w:jc w:val="center"/>
        <w:tblLayout w:type="autofit"/>
        <w:tblLook w:firstColumn="1" w:firstRow="1" w:lastColumn="0" w:lastRow="0" w:noHBand="0" w:noVBand="1" w:val="04A0"/>
      </w:tblPr>
      <w:tblGrid>
        <w:gridCol w:w="9360"/>
      </w:tblGrid>
      <w:tr>
        <w:tc>
          <w:tcPr>
            <w:tcW w:type="dxa" w:w="9360"/>
            <w:shd w:fill="003366"/>
          </w:tcPr>
          <w:p>
            <w:pPr>
              <w:spacing w:before="60" w:after="60"/>
            </w:pPr>
            <w:r>
              <w:rPr>
                <w:rFonts w:ascii="Calibri" w:hAnsi="Calibri"/>
                <w:b/>
                <w:color w:val="FFFFFF"/>
                <w:sz w:val="19"/>
              </w:rPr>
              <w:t>Courses</w:t>
            </w:r>
          </w:p>
        </w:tc>
      </w:tr>
      <w:tr>
        <w:tc>
          <w:tcPr>
            <w:tcW w:type="dxa" w:w="9360"/>
            <w:shd w:fill="F5F8FA"/>
          </w:tcPr>
          <w:p>
            <w:pPr>
              <w:spacing w:before="60" w:after="60"/>
            </w:pPr>
            <w:r>
              <w:rPr>
                <w:rFonts w:ascii="Calibri" w:hAnsi="Calibri"/>
                <w:sz w:val="19"/>
              </w:rPr>
              <w:t>History and Philosophy of Science</w:t>
            </w:r>
          </w:p>
        </w:tc>
      </w:tr>
      <w:tr>
        <w:tc>
          <w:tcPr>
            <w:tcW w:type="dxa" w:w="9360"/>
          </w:tcPr>
          <w:p>
            <w:pPr>
              <w:spacing w:before="60" w:after="60"/>
            </w:pPr>
            <w:r>
              <w:rPr>
                <w:rFonts w:ascii="Calibri" w:hAnsi="Calibri"/>
                <w:sz w:val="19"/>
              </w:rPr>
              <w:t>Foundations of Sustainability</w:t>
            </w:r>
          </w:p>
        </w:tc>
      </w:tr>
      <w:tr>
        <w:tc>
          <w:tcPr>
            <w:tcW w:type="dxa" w:w="9360"/>
            <w:shd w:fill="F5F8FA"/>
          </w:tcPr>
          <w:p>
            <w:pPr>
              <w:spacing w:before="60" w:after="60"/>
            </w:pPr>
            <w:r>
              <w:rPr>
                <w:rFonts w:ascii="Calibri" w:hAnsi="Calibri"/>
                <w:sz w:val="19"/>
              </w:rPr>
              <w:t>Climate Change and Society</w:t>
            </w:r>
          </w:p>
        </w:tc>
      </w:tr>
      <w:tr>
        <w:tc>
          <w:tcPr>
            <w:tcW w:type="dxa" w:w="9360"/>
          </w:tcPr>
          <w:p>
            <w:pPr>
              <w:spacing w:before="60" w:after="60"/>
            </w:pPr>
            <w:r>
              <w:rPr>
                <w:rFonts w:ascii="Calibri" w:hAnsi="Calibri"/>
                <w:sz w:val="19"/>
              </w:rPr>
              <w:t>Bioethics</w:t>
            </w:r>
          </w:p>
        </w:tc>
      </w:tr>
      <w:tr>
        <w:tc>
          <w:tcPr>
            <w:tcW w:type="dxa" w:w="9360"/>
            <w:shd w:fill="F5F8FA"/>
          </w:tcPr>
          <w:p>
            <w:pPr>
              <w:spacing w:before="60" w:after="60"/>
            </w:pPr>
            <w:r>
              <w:rPr>
                <w:rFonts w:ascii="Calibri" w:hAnsi="Calibri"/>
                <w:sz w:val="19"/>
              </w:rPr>
              <w:t>Aesthetics</w:t>
            </w:r>
          </w:p>
        </w:tc>
      </w:tr>
      <w:tr>
        <w:tc>
          <w:tcPr>
            <w:tcW w:type="dxa" w:w="9360"/>
          </w:tcPr>
          <w:p>
            <w:pPr>
              <w:spacing w:before="60" w:after="60"/>
            </w:pPr>
            <w:r>
              <w:rPr>
                <w:rFonts w:ascii="Calibri" w:hAnsi="Calibri"/>
                <w:sz w:val="19"/>
              </w:rPr>
              <w:t>Consciousness</w:t>
            </w:r>
          </w:p>
        </w:tc>
      </w:tr>
      <w:tr>
        <w:tc>
          <w:tcPr>
            <w:tcW w:type="dxa" w:w="9360"/>
            <w:shd w:fill="F5F8FA"/>
          </w:tcPr>
          <w:p>
            <w:pPr>
              <w:spacing w:before="60" w:after="60"/>
            </w:pPr>
            <w:r>
              <w:rPr>
                <w:rFonts w:ascii="Calibri" w:hAnsi="Calibri"/>
                <w:sz w:val="19"/>
              </w:rPr>
              <w:t>Philosophy of Mind</w:t>
            </w:r>
          </w:p>
        </w:tc>
      </w:tr>
      <w:tr>
        <w:tc>
          <w:tcPr>
            <w:tcW w:type="dxa" w:w="9360"/>
          </w:tcPr>
          <w:p>
            <w:pPr>
              <w:spacing w:before="60" w:after="60"/>
            </w:pPr>
            <w:r>
              <w:rPr>
                <w:rFonts w:ascii="Calibri" w:hAnsi="Calibri"/>
                <w:sz w:val="19"/>
              </w:rPr>
              <w:t>Language and Cognition</w:t>
            </w:r>
          </w:p>
        </w:tc>
      </w:tr>
      <w:tr>
        <w:tc>
          <w:tcPr>
            <w:tcW w:type="dxa" w:w="9360"/>
            <w:shd w:fill="F5F8FA"/>
          </w:tcPr>
          <w:p>
            <w:pPr>
              <w:spacing w:before="60" w:after="60"/>
            </w:pPr>
            <w:r>
              <w:rPr>
                <w:rFonts w:ascii="Calibri" w:hAnsi="Calibri"/>
                <w:sz w:val="19"/>
              </w:rPr>
              <w:t>Twentieth century Analytic Philosophy</w:t>
            </w:r>
          </w:p>
        </w:tc>
      </w:tr>
      <w:tr>
        <w:tc>
          <w:tcPr>
            <w:tcW w:type="dxa" w:w="9360"/>
          </w:tcPr>
          <w:p>
            <w:pPr>
              <w:spacing w:before="60" w:after="60"/>
            </w:pPr>
            <w:r>
              <w:rPr>
                <w:rFonts w:ascii="Calibri" w:hAnsi="Calibri"/>
                <w:sz w:val="19"/>
              </w:rPr>
              <w:t>Ethical Theories and Moral Practices</w:t>
            </w:r>
          </w:p>
        </w:tc>
      </w:tr>
    </w:tbl>
    <w:p>
      <w:pPr>
        <w:spacing w:before="0" w:after="120"/>
      </w:pPr>
    </w:p>
    <w:p>
      <w:pPr>
        <w:keepNext/>
        <w:spacing w:before="280" w:after="80"/>
      </w:pPr>
      <w:r>
        <w:rPr>
          <w:rFonts w:ascii="Calibri" w:hAnsi="Calibri"/>
          <w:color w:val="003366"/>
          <w:sz w:val="26"/>
        </w:rPr>
        <w:t>Abhishek Meena</w:t>
      </w:r>
    </w:p>
    <w:p>
      <w:pPr>
        <w:spacing w:before="0" w:after="100" w:line="276" w:lineRule="auto"/>
      </w:pPr>
      <w:r>
        <w:rPr>
          <w:rFonts w:ascii="Calibri" w:hAnsi="Calibri"/>
          <w:b/>
          <w:sz w:val="20"/>
        </w:rPr>
        <w:t>Research Interest:</w:t>
      </w:r>
      <w:r>
        <w:rPr>
          <w:rFonts w:ascii="Calibri" w:hAnsi="Calibri"/>
          <w:sz w:val="20"/>
        </w:rPr>
        <w:t xml:space="preserve"> Data Analysis, Computational Economics, Business analytics</w:t>
      </w:r>
    </w:p>
    <w:p>
      <w:pPr>
        <w:spacing w:before="0" w:after="100" w:line="276" w:lineRule="auto"/>
      </w:pPr>
      <w:r>
        <w:rPr>
          <w:rFonts w:ascii="Calibri" w:hAnsi="Calibri"/>
          <w:b/>
          <w:sz w:val="20"/>
        </w:rPr>
        <w:t>Email:</w:t>
      </w:r>
      <w:r>
        <w:rPr>
          <w:rFonts w:ascii="Calibri" w:hAnsi="Calibri"/>
          <w:sz w:val="20"/>
        </w:rPr>
        <w:t xml:space="preserve"> m23la1002@iitj.ac.in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Mayank Kunjiwar</w:t>
      </w:r>
    </w:p>
    <w:p>
      <w:pPr>
        <w:spacing w:before="0" w:after="100" w:line="276" w:lineRule="auto"/>
      </w:pPr>
      <w:r>
        <w:rPr>
          <w:rFonts w:ascii="Calibri" w:hAnsi="Calibri"/>
          <w:b/>
          <w:sz w:val="20"/>
        </w:rPr>
        <w:t>Research Interest:</w:t>
      </w:r>
      <w:r>
        <w:rPr>
          <w:rFonts w:ascii="Calibri" w:hAnsi="Calibri"/>
          <w:sz w:val="20"/>
        </w:rPr>
        <w:t xml:space="preserve"> Text Data, Real-Time Data, Social Media Analysis, Business Analysis, Computational Technique, Public Policy.</w:t>
      </w:r>
    </w:p>
    <w:p>
      <w:pPr>
        <w:spacing w:before="0" w:after="100" w:line="276" w:lineRule="auto"/>
      </w:pPr>
      <w:r>
        <w:rPr>
          <w:rFonts w:ascii="Calibri" w:hAnsi="Calibri"/>
          <w:b/>
          <w:sz w:val="20"/>
        </w:rPr>
        <w:t>Email:</w:t>
      </w:r>
      <w:r>
        <w:rPr>
          <w:rFonts w:ascii="Calibri" w:hAnsi="Calibri"/>
          <w:sz w:val="20"/>
        </w:rPr>
        <w:t xml:space="preserve"> m23la1014@iitj.ac.in</w:t>
      </w:r>
    </w:p>
    <w:p>
      <w:pPr>
        <w:spacing w:before="0" w:after="100" w:line="276" w:lineRule="auto"/>
      </w:pPr>
      <w:r>
        <w:rPr>
          <w:rFonts w:ascii="Calibri" w:hAnsi="Calibri"/>
          <w:b/>
          <w:sz w:val="20"/>
        </w:rPr>
        <w:t>Admission Year:</w:t>
      </w:r>
      <w:r>
        <w:rPr>
          <w:rFonts w:ascii="Calibri" w:hAnsi="Calibri"/>
          <w:sz w:val="20"/>
        </w:rPr>
        <w:t xml:space="preserve"> 2032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Sumit Kumar Singh</w:t>
      </w:r>
    </w:p>
    <w:p>
      <w:pPr>
        <w:spacing w:before="0" w:after="100" w:line="276" w:lineRule="auto"/>
      </w:pPr>
      <w:r>
        <w:rPr>
          <w:rFonts w:ascii="Calibri" w:hAnsi="Calibri"/>
          <w:b/>
          <w:sz w:val="20"/>
        </w:rPr>
        <w:t>Research Interest:</w:t>
      </w:r>
      <w:r>
        <w:rPr>
          <w:rFonts w:ascii="Calibri" w:hAnsi="Calibri"/>
          <w:sz w:val="20"/>
        </w:rPr>
        <w:t xml:space="preserve"> Social Development, Public Policy</w:t>
      </w:r>
    </w:p>
    <w:p>
      <w:pPr>
        <w:spacing w:before="0" w:after="100" w:line="276" w:lineRule="auto"/>
      </w:pPr>
      <w:r>
        <w:rPr>
          <w:rFonts w:ascii="Calibri" w:hAnsi="Calibri"/>
          <w:b/>
          <w:sz w:val="20"/>
        </w:rPr>
        <w:t>Email:</w:t>
      </w:r>
      <w:r>
        <w:rPr>
          <w:rFonts w:ascii="Calibri" w:hAnsi="Calibri"/>
          <w:sz w:val="20"/>
        </w:rPr>
        <w:t xml:space="preserve"> m23la1020@iitj.ac.in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Samya Brata Roy</w:t>
      </w:r>
    </w:p>
    <w:p>
      <w:pPr>
        <w:spacing w:before="0" w:after="100" w:line="276" w:lineRule="auto"/>
      </w:pPr>
      <w:r>
        <w:rPr>
          <w:rFonts w:ascii="Calibri" w:hAnsi="Calibri"/>
          <w:sz w:val="20"/>
        </w:rPr>
        <w:t>Presented a paper titled “Politics of Forest Rights in India: Un/Re-Doing Historical Injustice to Forest-Dwelling Communities?” at World Convention, Injustice in a World of Uncertainty, in Mikkeli, Finland.</w:t>
      </w:r>
    </w:p>
    <w:p>
      <w:pPr>
        <w:spacing w:before="0" w:after="100" w:line="276" w:lineRule="auto"/>
      </w:pPr>
      <w:r>
        <w:rPr>
          <w:rFonts w:ascii="Calibri" w:hAnsi="Calibri"/>
          <w:sz w:val="20"/>
        </w:rPr>
        <w:t>Published a book chapter on “Hitman 2 and its Spectre of Mumbai: A city lost in translation”: Literary Cultures and Digital Humanities in India, eds. Nishat Zaidi and A. Sean Pue, Routledge India, ISBN 9781032406756, with Routledge India, December 2022.</w:t>
      </w:r>
    </w:p>
    <w:p>
      <w:pPr>
        <w:keepNext/>
        <w:spacing w:before="280" w:after="80"/>
      </w:pPr>
      <w:r>
        <w:rPr>
          <w:rFonts w:ascii="Calibri" w:hAnsi="Calibri"/>
          <w:color w:val="003366"/>
          <w:sz w:val="26"/>
        </w:rPr>
        <w:t>Message From The Head</w:t>
      </w:r>
    </w:p>
    <w:p>
      <w:pPr>
        <w:spacing w:before="0" w:after="100" w:line="276" w:lineRule="auto"/>
      </w:pPr>
      <w:r>
        <w:rPr>
          <w:rFonts w:ascii="Calibri" w:hAnsi="Calibri"/>
          <w:sz w:val="20"/>
        </w:rPr>
        <w:t>The School of Liberal Arts (SoLA) at IIT Jodhpur, established in 2022, evolved from the Department of Humanities and Social Sciences (HSS), which had its inception in the year 2015. This is a critical milestone for a young department and represents our consistent improvement in academics and research. In accordance with the future-driven vision of IIT Jodhpur, the change in name signifies a change in orientation. The newly established School promotes the idea of transformation by breaking the traditional silos, and through multidisciplinary, transdisciplinary and interdisciplinary means, making an active intervention that will strengthen the existing research ecosystem of the institute.</w:t>
      </w:r>
    </w:p>
    <w:p>
      <w:pPr>
        <w:spacing w:before="0" w:after="100" w:line="276" w:lineRule="auto"/>
      </w:pPr>
      <w:r>
        <w:rPr>
          <w:rFonts w:ascii="Calibri" w:hAnsi="Calibri"/>
          <w:sz w:val="20"/>
        </w:rPr>
        <w:t>Through the courses and programs offered by our School, we encourage students to become professionals whose practice and research bridge the gaps between the humanistic, the social, the environmental, and the technological domains. SoLA’s flagship program is the two-year MSc in Computational Social Sciences (CSS) with a specialization in two tracks – Computational Economics and Computational Sociology.</w:t>
      </w:r>
    </w:p>
    <w:p>
      <w:pPr>
        <w:spacing w:before="0" w:after="100" w:line="276" w:lineRule="auto"/>
      </w:pPr>
      <w:r>
        <w:rPr>
          <w:rFonts w:ascii="Calibri" w:hAnsi="Calibri"/>
          <w:sz w:val="20"/>
        </w:rPr>
        <w:t>To promote a more nuanced dialogue between STEM and social sciences, the school also offers interdisciplinary cross-institute courses for engineering students at undergraduate, graduate and doctoral levels.</w:t>
      </w:r>
    </w:p>
    <w:p>
      <w:pPr>
        <w:spacing w:before="0" w:after="100" w:line="276" w:lineRule="auto"/>
      </w:pPr>
      <w:r>
        <w:rPr>
          <w:rFonts w:ascii="Calibri" w:hAnsi="Calibri"/>
          <w:sz w:val="20"/>
        </w:rPr>
        <w:t>The faculty of our school are distinguished academics, with rich intellectual capital who combine academic excellence with pedagogical innovations that represent their dedication and commitment to the vision of the School and IIT Jodhpur.</w:t>
      </w:r>
    </w:p>
    <w:p>
      <w:pPr>
        <w:spacing w:before="0" w:after="100" w:line="276" w:lineRule="auto"/>
      </w:pPr>
      <w:r>
        <w:rPr>
          <w:rFonts w:ascii="Calibri" w:hAnsi="Calibri"/>
          <w:sz w:val="20"/>
        </w:rPr>
        <w:t>I invite you to learn more about our School and to be part of our journey as we foster humanitarian values, diversity, inclusiveness, a passion for learning and building a culture of excellence in education and research.</w:t>
      </w:r>
    </w:p>
    <w:p>
      <w:pPr>
        <w:keepNext/>
        <w:spacing w:before="280" w:after="80"/>
      </w:pPr>
      <w:r>
        <w:rPr>
          <w:rFonts w:ascii="Calibri" w:hAnsi="Calibri"/>
          <w:color w:val="003366"/>
          <w:sz w:val="26"/>
        </w:rPr>
        <w:t>Achyut N. Sapkal</w:t>
      </w:r>
    </w:p>
    <w:p>
      <w:pPr>
        <w:spacing w:before="0" w:after="100" w:line="276" w:lineRule="auto"/>
      </w:pPr>
      <w:r>
        <w:rPr>
          <w:rFonts w:ascii="Calibri" w:hAnsi="Calibri"/>
          <w:b/>
          <w:sz w:val="20"/>
        </w:rPr>
        <w:t>Research Interest:</w:t>
      </w:r>
      <w:r>
        <w:rPr>
          <w:rFonts w:ascii="Calibri" w:hAnsi="Calibri"/>
          <w:sz w:val="20"/>
        </w:rPr>
        <w:t xml:space="preserve"> Computer Vision, Edtech, AI &amp; ML, Development Economics,</w:t>
      </w:r>
    </w:p>
    <w:p>
      <w:pPr>
        <w:spacing w:before="0" w:after="100" w:line="276" w:lineRule="auto"/>
      </w:pPr>
      <w:r>
        <w:rPr>
          <w:rFonts w:ascii="Calibri" w:hAnsi="Calibri"/>
          <w:b/>
          <w:sz w:val="20"/>
        </w:rPr>
        <w:t>Email:</w:t>
      </w:r>
      <w:r>
        <w:rPr>
          <w:rFonts w:ascii="Calibri" w:hAnsi="Calibri"/>
          <w:sz w:val="20"/>
        </w:rPr>
        <w:t xml:space="preserve"> m23la1003@iitj.ac.in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Raashid Yaseen Shah</w:t>
      </w:r>
    </w:p>
    <w:p>
      <w:pPr>
        <w:spacing w:before="0" w:after="100" w:line="276" w:lineRule="auto"/>
      </w:pPr>
      <w:r>
        <w:rPr>
          <w:rFonts w:ascii="Calibri" w:hAnsi="Calibri"/>
          <w:b/>
          <w:sz w:val="20"/>
        </w:rPr>
        <w:t>Research Interest:</w:t>
      </w:r>
      <w:r>
        <w:rPr>
          <w:rFonts w:ascii="Calibri" w:hAnsi="Calibri"/>
          <w:sz w:val="20"/>
        </w:rPr>
        <w:t xml:space="preserve"> Computational Economics, Development Economics, Game Theory, Social and Economic Networks</w:t>
      </w:r>
    </w:p>
    <w:p>
      <w:pPr>
        <w:spacing w:before="0" w:after="100" w:line="276" w:lineRule="auto"/>
      </w:pPr>
      <w:r>
        <w:rPr>
          <w:rFonts w:ascii="Calibri" w:hAnsi="Calibri"/>
          <w:b/>
          <w:sz w:val="20"/>
        </w:rPr>
        <w:t>Email:</w:t>
      </w:r>
      <w:r>
        <w:rPr>
          <w:rFonts w:ascii="Calibri" w:hAnsi="Calibri"/>
          <w:sz w:val="20"/>
        </w:rPr>
        <w:t xml:space="preserve"> m22sl006@iitj.ac.in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Swarnima Banerjee &amp; Samya Brata Roy</w:t>
      </w:r>
    </w:p>
    <w:p>
      <w:pPr>
        <w:spacing w:before="0" w:after="100" w:line="276" w:lineRule="auto"/>
      </w:pPr>
      <w:r>
        <w:rPr>
          <w:rFonts w:ascii="Calibri" w:hAnsi="Calibri"/>
          <w:sz w:val="20"/>
        </w:rPr>
        <w:t>Presented a paper on, “Detecting the Quotidian and Challenging Cultural Commodification: A Case Study of ‘Sharodiya Pujabarshikis’ from India,” at the BCLA, Faculty of English, the University of Oxford on 30th September 2022.</w:t>
      </w:r>
    </w:p>
    <w:p>
      <w:pPr>
        <w:keepNext/>
        <w:spacing w:before="280" w:after="80"/>
      </w:pPr>
      <w:r>
        <w:rPr>
          <w:rFonts w:ascii="Calibri" w:hAnsi="Calibri"/>
          <w:color w:val="003366"/>
          <w:sz w:val="26"/>
        </w:rPr>
        <w:t>Iltefat Ahmad Alhaque Jami</w:t>
      </w:r>
    </w:p>
    <w:p>
      <w:pPr>
        <w:spacing w:before="0" w:after="100" w:line="276" w:lineRule="auto"/>
      </w:pPr>
      <w:r>
        <w:rPr>
          <w:rFonts w:ascii="Calibri" w:hAnsi="Calibri"/>
          <w:b/>
          <w:sz w:val="20"/>
        </w:rPr>
        <w:t>Research Interest:</w:t>
      </w:r>
      <w:r>
        <w:rPr>
          <w:rFonts w:ascii="Calibri" w:hAnsi="Calibri"/>
          <w:sz w:val="20"/>
        </w:rPr>
        <w:t xml:space="preserve"> Econometrics, Computational Economics, Game Theory, Social Network Analysis, Machine Learning</w:t>
      </w:r>
    </w:p>
    <w:p>
      <w:pPr>
        <w:spacing w:before="0" w:after="100" w:line="276" w:lineRule="auto"/>
      </w:pPr>
      <w:r>
        <w:rPr>
          <w:rFonts w:ascii="Calibri" w:hAnsi="Calibri"/>
          <w:b/>
          <w:sz w:val="20"/>
        </w:rPr>
        <w:t>Email:</w:t>
      </w:r>
      <w:r>
        <w:rPr>
          <w:rFonts w:ascii="Calibri" w:hAnsi="Calibri"/>
          <w:sz w:val="20"/>
        </w:rPr>
        <w:t xml:space="preserve"> m22sl002@iitj.ac.in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Shubhi Verma</w:t>
      </w:r>
    </w:p>
    <w:p>
      <w:pPr>
        <w:spacing w:before="0" w:after="100" w:line="276" w:lineRule="auto"/>
      </w:pPr>
      <w:r>
        <w:rPr>
          <w:rFonts w:ascii="Calibri" w:hAnsi="Calibri"/>
          <w:b/>
          <w:sz w:val="20"/>
        </w:rPr>
        <w:t>Research Interest:</w:t>
      </w:r>
      <w:r>
        <w:rPr>
          <w:rFonts w:ascii="Calibri" w:hAnsi="Calibri"/>
          <w:sz w:val="20"/>
        </w:rPr>
        <w:t xml:space="preserve"> Computational Economics, Econometrics, Development Economics, Artificial Intelligence</w:t>
      </w:r>
    </w:p>
    <w:p>
      <w:pPr>
        <w:spacing w:before="0" w:after="100" w:line="276" w:lineRule="auto"/>
      </w:pPr>
      <w:r>
        <w:rPr>
          <w:rFonts w:ascii="Calibri" w:hAnsi="Calibri"/>
          <w:b/>
          <w:sz w:val="20"/>
        </w:rPr>
        <w:t>Email:</w:t>
      </w:r>
      <w:r>
        <w:rPr>
          <w:rFonts w:ascii="Calibri" w:hAnsi="Calibri"/>
          <w:sz w:val="20"/>
        </w:rPr>
        <w:t xml:space="preserve"> m22sl008@iitj.ac.in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Sociology</w:t>
      </w:r>
    </w:p>
    <w:tbl>
      <w:tblPr>
        <w:tblStyle w:val="TableGrid"/>
        <w:tblW w:type="auto" w:w="0"/>
        <w:jc w:val="center"/>
        <w:tblLayout w:type="autofit"/>
        <w:tblLook w:firstColumn="1" w:firstRow="1" w:lastColumn="0" w:lastRow="0" w:noHBand="0" w:noVBand="1" w:val="04A0"/>
      </w:tblPr>
      <w:tblGrid>
        <w:gridCol w:w="9360"/>
      </w:tblGrid>
      <w:tr>
        <w:tc>
          <w:tcPr>
            <w:tcW w:type="dxa" w:w="9360"/>
            <w:shd w:fill="003366"/>
          </w:tcPr>
          <w:p>
            <w:pPr>
              <w:spacing w:before="60" w:after="60"/>
            </w:pPr>
            <w:r>
              <w:rPr>
                <w:rFonts w:ascii="Calibri" w:hAnsi="Calibri"/>
                <w:color w:val="FFFFFF"/>
                <w:sz w:val="19"/>
              </w:rPr>
              <w:t>Sociology of Science and Technology</w:t>
            </w:r>
          </w:p>
        </w:tc>
      </w:tr>
      <w:tr>
        <w:tc>
          <w:tcPr>
            <w:tcW w:type="dxa" w:w="9360"/>
            <w:shd w:fill="F5F8FA"/>
          </w:tcPr>
          <w:p>
            <w:pPr>
              <w:spacing w:before="60" w:after="60"/>
            </w:pPr>
            <w:r>
              <w:rPr>
                <w:rFonts w:ascii="Calibri" w:hAnsi="Calibri"/>
                <w:sz w:val="19"/>
              </w:rPr>
              <w:t>Poltics of Water Governace</w:t>
            </w:r>
          </w:p>
        </w:tc>
      </w:tr>
      <w:tr>
        <w:tc>
          <w:tcPr>
            <w:tcW w:type="dxa" w:w="9360"/>
          </w:tcPr>
          <w:p>
            <w:pPr>
              <w:spacing w:before="60" w:after="60"/>
            </w:pPr>
            <w:r>
              <w:rPr>
                <w:rFonts w:ascii="Calibri" w:hAnsi="Calibri"/>
                <w:sz w:val="19"/>
              </w:rPr>
              <w:t>Gender and Society</w:t>
            </w:r>
          </w:p>
        </w:tc>
      </w:tr>
      <w:tr>
        <w:tc>
          <w:tcPr>
            <w:tcW w:type="dxa" w:w="9360"/>
            <w:shd w:fill="F5F8FA"/>
          </w:tcPr>
          <w:p>
            <w:pPr>
              <w:spacing w:before="60" w:after="60"/>
            </w:pPr>
            <w:r>
              <w:rPr>
                <w:rFonts w:ascii="Calibri" w:hAnsi="Calibri"/>
                <w:sz w:val="19"/>
              </w:rPr>
              <w:t>Climate change and Society</w:t>
            </w:r>
          </w:p>
        </w:tc>
      </w:tr>
      <w:tr>
        <w:tc>
          <w:tcPr>
            <w:tcW w:type="dxa" w:w="9360"/>
          </w:tcPr>
          <w:p>
            <w:pPr>
              <w:spacing w:before="60" w:after="60"/>
            </w:pPr>
            <w:r>
              <w:rPr>
                <w:rFonts w:ascii="Calibri" w:hAnsi="Calibri"/>
                <w:sz w:val="19"/>
              </w:rPr>
              <w:t>Globalization and culture</w:t>
            </w:r>
          </w:p>
        </w:tc>
      </w:tr>
      <w:tr>
        <w:tc>
          <w:tcPr>
            <w:tcW w:type="dxa" w:w="9360"/>
            <w:shd w:fill="F5F8FA"/>
          </w:tcPr>
          <w:p>
            <w:pPr>
              <w:spacing w:before="60" w:after="60"/>
            </w:pPr>
            <w:r>
              <w:rPr>
                <w:rFonts w:ascii="Calibri" w:hAnsi="Calibri"/>
                <w:sz w:val="19"/>
              </w:rPr>
              <w:t>Understanding Social Realities</w:t>
            </w:r>
          </w:p>
        </w:tc>
      </w:tr>
      <w:tr>
        <w:tc>
          <w:tcPr>
            <w:tcW w:type="dxa" w:w="9360"/>
          </w:tcPr>
          <w:p>
            <w:pPr>
              <w:spacing w:before="60" w:after="60"/>
            </w:pPr>
            <w:r>
              <w:rPr>
                <w:rFonts w:ascii="Calibri" w:hAnsi="Calibri"/>
                <w:sz w:val="19"/>
              </w:rPr>
              <w:t>Perspectives in Computational Sociology</w:t>
            </w:r>
          </w:p>
        </w:tc>
      </w:tr>
      <w:tr>
        <w:tc>
          <w:tcPr>
            <w:tcW w:type="dxa" w:w="9360"/>
            <w:shd w:fill="F5F8FA"/>
          </w:tcPr>
          <w:p>
            <w:pPr>
              <w:spacing w:before="60" w:after="60"/>
            </w:pPr>
            <w:r>
              <w:rPr>
                <w:rFonts w:ascii="Calibri" w:hAnsi="Calibri"/>
                <w:sz w:val="19"/>
              </w:rPr>
              <w:t>Sociology in the Digital era</w:t>
            </w:r>
          </w:p>
        </w:tc>
      </w:tr>
      <w:tr>
        <w:tc>
          <w:tcPr>
            <w:tcW w:type="dxa" w:w="9360"/>
          </w:tcPr>
          <w:p>
            <w:pPr>
              <w:spacing w:before="60" w:after="60"/>
            </w:pPr>
            <w:r>
              <w:rPr>
                <w:rFonts w:ascii="Calibri" w:hAnsi="Calibri"/>
                <w:sz w:val="19"/>
              </w:rPr>
              <w:t>New Forms of Socialization</w:t>
            </w:r>
          </w:p>
        </w:tc>
      </w:tr>
      <w:tr>
        <w:tc>
          <w:tcPr>
            <w:tcW w:type="dxa" w:w="9360"/>
            <w:shd w:fill="F5F8FA"/>
          </w:tcPr>
          <w:p>
            <w:pPr>
              <w:spacing w:before="60" w:after="60"/>
            </w:pPr>
            <w:r>
              <w:rPr>
                <w:rFonts w:ascii="Calibri" w:hAnsi="Calibri"/>
                <w:sz w:val="19"/>
              </w:rPr>
              <w:t>Sociology of Media</w:t>
            </w:r>
          </w:p>
        </w:tc>
      </w:tr>
      <w:tr>
        <w:tc>
          <w:tcPr>
            <w:tcW w:type="dxa" w:w="9360"/>
          </w:tcPr>
          <w:p>
            <w:pPr>
              <w:spacing w:before="60" w:after="60"/>
            </w:pPr>
            <w:r>
              <w:rPr>
                <w:rFonts w:ascii="Calibri" w:hAnsi="Calibri"/>
                <w:sz w:val="19"/>
              </w:rPr>
              <w:t>Work and Modern Organizations</w:t>
            </w:r>
          </w:p>
        </w:tc>
      </w:tr>
      <w:tr>
        <w:tc>
          <w:tcPr>
            <w:tcW w:type="dxa" w:w="9360"/>
            <w:shd w:fill="F5F8FA"/>
          </w:tcPr>
          <w:p>
            <w:pPr>
              <w:spacing w:before="60" w:after="60"/>
            </w:pPr>
            <w:r>
              <w:rPr>
                <w:rFonts w:ascii="Calibri" w:hAnsi="Calibri"/>
                <w:sz w:val="19"/>
              </w:rPr>
              <w:t>Political Anthropology in the Digital era</w:t>
            </w:r>
          </w:p>
        </w:tc>
      </w:tr>
      <w:tr>
        <w:tc>
          <w:tcPr>
            <w:tcW w:type="dxa" w:w="9360"/>
          </w:tcPr>
          <w:p>
            <w:pPr>
              <w:spacing w:before="60" w:after="60"/>
            </w:pPr>
            <w:r>
              <w:rPr>
                <w:rFonts w:ascii="Calibri" w:hAnsi="Calibri"/>
                <w:sz w:val="19"/>
              </w:rPr>
              <w:t>Video Games and Society</w:t>
            </w:r>
          </w:p>
        </w:tc>
      </w:tr>
      <w:tr>
        <w:tc>
          <w:tcPr>
            <w:tcW w:type="dxa" w:w="9360"/>
            <w:shd w:fill="F5F8FA"/>
          </w:tcPr>
          <w:p>
            <w:pPr>
              <w:spacing w:before="60" w:after="60"/>
            </w:pPr>
            <w:r>
              <w:rPr>
                <w:rFonts w:ascii="Calibri" w:hAnsi="Calibri"/>
                <w:sz w:val="19"/>
              </w:rPr>
              <w:t>Commodities in the Digital Era</w:t>
            </w:r>
          </w:p>
        </w:tc>
      </w:tr>
    </w:tbl>
    <w:p>
      <w:pPr>
        <w:spacing w:before="0" w:after="120"/>
      </w:pPr>
    </w:p>
    <w:p>
      <w:pPr>
        <w:keepNext/>
        <w:spacing w:before="280" w:after="80"/>
      </w:pPr>
      <w:r>
        <w:rPr>
          <w:rFonts w:ascii="Calibri" w:hAnsi="Calibri"/>
          <w:color w:val="003366"/>
          <w:sz w:val="26"/>
        </w:rPr>
        <w:t>Aniket</w:t>
      </w:r>
    </w:p>
    <w:p>
      <w:pPr>
        <w:spacing w:before="0" w:after="100" w:line="276" w:lineRule="auto"/>
      </w:pPr>
      <w:r>
        <w:rPr>
          <w:rFonts w:ascii="Calibri" w:hAnsi="Calibri"/>
          <w:b/>
          <w:sz w:val="20"/>
        </w:rPr>
        <w:t>Research Interest:</w:t>
      </w:r>
      <w:r>
        <w:rPr>
          <w:rFonts w:ascii="Calibri" w:hAnsi="Calibri"/>
          <w:sz w:val="20"/>
        </w:rPr>
        <w:t xml:space="preserve"> Public Administration, Policy Studies, Political Sociology, Risk Management and Strategic Planning</w:t>
      </w:r>
    </w:p>
    <w:p>
      <w:pPr>
        <w:spacing w:before="0" w:after="100" w:line="276" w:lineRule="auto"/>
      </w:pPr>
      <w:r>
        <w:rPr>
          <w:rFonts w:ascii="Calibri" w:hAnsi="Calibri"/>
          <w:b/>
          <w:sz w:val="20"/>
        </w:rPr>
        <w:t>Email:</w:t>
      </w:r>
      <w:r>
        <w:rPr>
          <w:rFonts w:ascii="Calibri" w:hAnsi="Calibri"/>
          <w:sz w:val="20"/>
        </w:rPr>
        <w:t xml:space="preserve"> m22sl001@iitj.ac.in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Vision</w:t>
      </w:r>
    </w:p>
    <w:p>
      <w:pPr>
        <w:spacing w:before="0" w:after="100" w:line="276" w:lineRule="auto"/>
      </w:pPr>
      <w:r>
        <w:rPr>
          <w:rFonts w:ascii="Calibri" w:hAnsi="Calibri"/>
          <w:sz w:val="20"/>
        </w:rPr>
        <w:t>The vision of the School of Liberal Arts is to emerge as a forerunner in Liberal Arts education. We believe in a novel, open, futuristic, trans-disciplinary, and inclusive liberal humanist approach, that not only engages with the human, the non-human, and the planetary, but also recognizes and amplifies the diverse possibilities and potentials of human-technology interfaces as both agents and sites for social change’ (SoLA Vision Document, Annexure 1, pg. 17). The SoLA will have a broader vision, seeking to break the silos created by disciplinary boundaries and reimagining the educational structure. Through an open approach it will strive to equip and enable students for the challenge of the future, while turning them into global citizens and able thinkers with an awareness of the needs and demands of contemporary society. The goals of SoLA will include:</w:t>
      </w:r>
    </w:p>
    <w:p>
      <w:pPr>
        <w:pStyle w:val="ListNumber"/>
        <w:spacing w:before="20" w:after="40"/>
      </w:pPr>
      <w:r>
        <w:rPr>
          <w:rFonts w:ascii="Calibri" w:hAnsi="Calibri"/>
          <w:sz w:val="20"/>
        </w:rPr>
        <w:t>To engage in foundational as well as socially relevant and benevolent research in the areas of Liberal Arts, to aid and guide the technologies developed to bring solutions for constructive</w:t>
      </w:r>
    </w:p>
    <w:p>
      <w:pPr>
        <w:spacing w:before="0" w:after="100" w:line="276" w:lineRule="auto"/>
      </w:pPr>
      <w:hyperlink r:id="rId9">
        <w:r>
          <w:rPr>
            <w:color w:val="004B87"/>
            <w:u w:val="single"/>
          </w:rPr>
          <w:t xml:space="preserve">Read More</w:t>
        </w:r>
      </w:hyperlink>
    </w:p>
    <w:p>
      <w:pPr>
        <w:keepNext/>
        <w:spacing w:before="280" w:after="80"/>
      </w:pPr>
      <w:r>
        <w:rPr>
          <w:rFonts w:ascii="Calibri" w:hAnsi="Calibri"/>
          <w:color w:val="003366"/>
          <w:sz w:val="26"/>
        </w:rPr>
        <w:t>M Harsh Kumaar</w:t>
      </w:r>
    </w:p>
    <w:p>
      <w:pPr>
        <w:spacing w:before="0" w:after="100" w:line="276" w:lineRule="auto"/>
      </w:pPr>
      <w:r>
        <w:rPr>
          <w:rFonts w:ascii="Calibri" w:hAnsi="Calibri"/>
          <w:b/>
          <w:sz w:val="20"/>
        </w:rPr>
        <w:t>Research Interest:</w:t>
      </w:r>
    </w:p>
    <w:p>
      <w:pPr>
        <w:spacing w:before="0" w:after="100" w:line="276" w:lineRule="auto"/>
      </w:pPr>
      <w:r>
        <w:rPr>
          <w:rFonts w:ascii="Calibri" w:hAnsi="Calibri"/>
          <w:b/>
          <w:sz w:val="20"/>
        </w:rPr>
        <w:t>Email:</w:t>
      </w:r>
      <w:r>
        <w:rPr>
          <w:rFonts w:ascii="Calibri" w:hAnsi="Calibri"/>
          <w:sz w:val="20"/>
        </w:rPr>
        <w:t xml:space="preserve"> m23la1012@iitj.ac.in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Subhajit Maji</w:t>
      </w:r>
    </w:p>
    <w:p>
      <w:pPr>
        <w:spacing w:before="0" w:after="100" w:line="276" w:lineRule="auto"/>
      </w:pPr>
      <w:r>
        <w:rPr>
          <w:rFonts w:ascii="Calibri" w:hAnsi="Calibri"/>
          <w:b/>
          <w:sz w:val="20"/>
        </w:rPr>
        <w:t>Research Interest:</w:t>
      </w:r>
      <w:r>
        <w:rPr>
          <w:rFonts w:ascii="Calibri" w:hAnsi="Calibri"/>
          <w:sz w:val="20"/>
        </w:rPr>
        <w:t xml:space="preserve"> AI &amp; ML, Data Analytics, Computational Sociology, Econometrics</w:t>
      </w:r>
    </w:p>
    <w:p>
      <w:pPr>
        <w:spacing w:before="0" w:after="100" w:line="276" w:lineRule="auto"/>
      </w:pPr>
      <w:r>
        <w:rPr>
          <w:rFonts w:ascii="Calibri" w:hAnsi="Calibri"/>
          <w:b/>
          <w:sz w:val="20"/>
        </w:rPr>
        <w:t>Email:</w:t>
      </w:r>
      <w:r>
        <w:rPr>
          <w:rFonts w:ascii="Calibri" w:hAnsi="Calibri"/>
          <w:sz w:val="20"/>
        </w:rPr>
        <w:t xml:space="preserve"> m23la1019@iitj.ac.in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Ishita Choudhary</w:t>
      </w:r>
    </w:p>
    <w:p>
      <w:pPr>
        <w:spacing w:before="0" w:after="100" w:line="276" w:lineRule="auto"/>
      </w:pPr>
      <w:r>
        <w:rPr>
          <w:rFonts w:ascii="Calibri" w:hAnsi="Calibri"/>
          <w:b/>
          <w:sz w:val="20"/>
        </w:rPr>
        <w:t>Research Interest:</w:t>
      </w:r>
      <w:r>
        <w:rPr>
          <w:rFonts w:ascii="Calibri" w:hAnsi="Calibri"/>
          <w:sz w:val="20"/>
        </w:rPr>
        <w:t xml:space="preserve"> International Economics, Game theory and Behavioral Economics</w:t>
      </w:r>
    </w:p>
    <w:p>
      <w:pPr>
        <w:spacing w:before="0" w:after="100" w:line="276" w:lineRule="auto"/>
      </w:pPr>
      <w:r>
        <w:rPr>
          <w:rFonts w:ascii="Calibri" w:hAnsi="Calibri"/>
          <w:b/>
          <w:sz w:val="20"/>
        </w:rPr>
        <w:t>Email:</w:t>
      </w:r>
      <w:r>
        <w:rPr>
          <w:rFonts w:ascii="Calibri" w:hAnsi="Calibri"/>
          <w:sz w:val="20"/>
        </w:rPr>
        <w:t xml:space="preserve"> m23la1010@iitj.ac.in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Deepti</w:t>
      </w:r>
    </w:p>
    <w:p>
      <w:pPr>
        <w:spacing w:before="0" w:after="100" w:line="276" w:lineRule="auto"/>
      </w:pPr>
      <w:r>
        <w:rPr>
          <w:rFonts w:ascii="Calibri" w:hAnsi="Calibri"/>
          <w:b/>
          <w:sz w:val="20"/>
        </w:rPr>
        <w:t>Research Interest:</w:t>
      </w:r>
    </w:p>
    <w:p>
      <w:pPr>
        <w:spacing w:before="0" w:after="100" w:line="276" w:lineRule="auto"/>
      </w:pPr>
      <w:r>
        <w:rPr>
          <w:rFonts w:ascii="Calibri" w:hAnsi="Calibri"/>
          <w:b/>
          <w:sz w:val="20"/>
        </w:rPr>
        <w:t>Email:</w:t>
      </w:r>
      <w:r>
        <w:rPr>
          <w:rFonts w:ascii="Calibri" w:hAnsi="Calibri"/>
          <w:sz w:val="20"/>
        </w:rPr>
        <w:t xml:space="preserve"> m23la1008@iitj.ac.in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Ratikant Dehury</w:t>
      </w:r>
    </w:p>
    <w:p>
      <w:pPr>
        <w:spacing w:before="0" w:after="100" w:line="276" w:lineRule="auto"/>
      </w:pPr>
      <w:r>
        <w:rPr>
          <w:rFonts w:ascii="Calibri" w:hAnsi="Calibri"/>
          <w:b/>
          <w:sz w:val="20"/>
        </w:rPr>
        <w:t>Research Interest:</w:t>
      </w:r>
      <w:r>
        <w:rPr>
          <w:rFonts w:ascii="Calibri" w:hAnsi="Calibri"/>
          <w:sz w:val="20"/>
        </w:rPr>
        <w:t xml:space="preserve"> AI &amp; ML, Data Analytics, Data Science</w:t>
      </w:r>
    </w:p>
    <w:p>
      <w:pPr>
        <w:spacing w:before="0" w:after="100" w:line="276" w:lineRule="auto"/>
      </w:pPr>
      <w:r>
        <w:rPr>
          <w:rFonts w:ascii="Calibri" w:hAnsi="Calibri"/>
          <w:b/>
          <w:sz w:val="20"/>
        </w:rPr>
        <w:t>Email:</w:t>
      </w:r>
      <w:r>
        <w:rPr>
          <w:rFonts w:ascii="Calibri" w:hAnsi="Calibri"/>
          <w:sz w:val="20"/>
        </w:rPr>
        <w:t xml:space="preserve"> m22sl007@iitj.ac.in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Prashant Ajay Pantawane</w:t>
      </w:r>
    </w:p>
    <w:p>
      <w:pPr>
        <w:spacing w:before="0" w:after="100" w:line="276" w:lineRule="auto"/>
      </w:pPr>
      <w:r>
        <w:rPr>
          <w:rFonts w:ascii="Calibri" w:hAnsi="Calibri"/>
          <w:b/>
          <w:sz w:val="20"/>
        </w:rPr>
        <w:t>Research Interest:</w:t>
      </w:r>
      <w:r>
        <w:rPr>
          <w:rFonts w:ascii="Calibri" w:hAnsi="Calibri"/>
          <w:sz w:val="20"/>
        </w:rPr>
        <w:t xml:space="preserve"> Data Analytics, AI &amp; ML, Risk Management and Strategic Planning</w:t>
      </w:r>
    </w:p>
    <w:p>
      <w:pPr>
        <w:spacing w:before="0" w:after="100" w:line="276" w:lineRule="auto"/>
      </w:pPr>
      <w:r>
        <w:rPr>
          <w:rFonts w:ascii="Calibri" w:hAnsi="Calibri"/>
          <w:b/>
          <w:sz w:val="20"/>
        </w:rPr>
        <w:t>Email:</w:t>
      </w:r>
      <w:r>
        <w:rPr>
          <w:rFonts w:ascii="Calibri" w:hAnsi="Calibri"/>
          <w:sz w:val="20"/>
        </w:rPr>
        <w:t xml:space="preserve"> m23la1016@iitj.ac.in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Samyukthah. A &amp; Sanskriti. K</w:t>
      </w:r>
    </w:p>
    <w:p>
      <w:pPr>
        <w:spacing w:before="0" w:after="100" w:line="276" w:lineRule="auto"/>
      </w:pPr>
      <w:r>
        <w:rPr>
          <w:rFonts w:ascii="Calibri" w:hAnsi="Calibri"/>
          <w:sz w:val="20"/>
        </w:rPr>
        <w:t>Presented a paper on “‘Volk’ and the ‘Hysterical’ Laugh of the Medusa in Suspiria (2018): The Agency of Female Body” at the Queen Mary University of London, June 11, 2022.</w:t>
      </w:r>
    </w:p>
    <w:p>
      <w:pPr>
        <w:keepNext/>
        <w:spacing w:before="280" w:after="80"/>
      </w:pPr>
      <w:r>
        <w:rPr>
          <w:rFonts w:ascii="Calibri" w:hAnsi="Calibri"/>
          <w:color w:val="003366"/>
          <w:sz w:val="26"/>
        </w:rPr>
        <w:t>Yashwanth M</w:t>
      </w:r>
    </w:p>
    <w:p>
      <w:pPr>
        <w:spacing w:before="0" w:after="100" w:line="276" w:lineRule="auto"/>
      </w:pPr>
      <w:r>
        <w:rPr>
          <w:rFonts w:ascii="Calibri" w:hAnsi="Calibri"/>
          <w:b/>
          <w:sz w:val="20"/>
        </w:rPr>
        <w:t>Research Interest:</w:t>
      </w:r>
      <w:r>
        <w:rPr>
          <w:rFonts w:ascii="Calibri" w:hAnsi="Calibri"/>
          <w:sz w:val="20"/>
        </w:rPr>
        <w:t xml:space="preserve"> Public Health, Health and computational Economics, Public Policy</w:t>
      </w:r>
    </w:p>
    <w:p>
      <w:pPr>
        <w:spacing w:before="0" w:after="100" w:line="276" w:lineRule="auto"/>
      </w:pPr>
      <w:r>
        <w:rPr>
          <w:rFonts w:ascii="Calibri" w:hAnsi="Calibri"/>
          <w:b/>
          <w:sz w:val="20"/>
        </w:rPr>
        <w:t>Email:</w:t>
      </w:r>
      <w:r>
        <w:rPr>
          <w:rFonts w:ascii="Calibri" w:hAnsi="Calibri"/>
          <w:sz w:val="20"/>
        </w:rPr>
        <w:t xml:space="preserve"> m23la1021@iitj.ac.in</w:t>
      </w:r>
    </w:p>
    <w:p>
      <w:pPr>
        <w:spacing w:before="0" w:after="100" w:line="276" w:lineRule="auto"/>
      </w:pPr>
      <w:r>
        <w:rPr>
          <w:rFonts w:ascii="Calibri" w:hAnsi="Calibri"/>
          <w:b/>
          <w:sz w:val="20"/>
        </w:rPr>
        <w:t>Admission Year:</w:t>
      </w:r>
      <w:r>
        <w:rPr>
          <w:rFonts w:ascii="Calibri" w:hAnsi="Calibri"/>
          <w:sz w:val="20"/>
        </w:rPr>
        <w:t xml:space="preserve"> 2023</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Shyan Pal</w:t>
      </w:r>
    </w:p>
    <w:p>
      <w:pPr>
        <w:spacing w:before="0" w:after="100" w:line="276" w:lineRule="auto"/>
      </w:pPr>
      <w:r>
        <w:rPr>
          <w:rFonts w:ascii="Calibri" w:hAnsi="Calibri"/>
          <w:sz w:val="20"/>
        </w:rPr>
        <w:t>Shyan Pal, an Msc CSS first-year student, is selected as a summer intern by PwC India. He will be joining as a paid intern in their Economics and Policy practice team for a period of two months.</w:t>
      </w:r>
    </w:p>
    <w:p>
      <w:pPr>
        <w:spacing w:before="0" w:after="100" w:line="276" w:lineRule="auto"/>
      </w:pPr>
      <w:r>
        <w:rPr>
          <w:rFonts w:ascii="Calibri" w:hAnsi="Calibri"/>
          <w:b/>
          <w:sz w:val="20"/>
        </w:rPr>
        <w:t>Research Interest:</w:t>
      </w:r>
      <w:r>
        <w:rPr>
          <w:rFonts w:ascii="Calibri" w:hAnsi="Calibri"/>
          <w:sz w:val="20"/>
        </w:rPr>
        <w:t xml:space="preserve"> Machine Learning &amp; AI, Development Sociology, Social &amp; Business Analytics, Management Consulting</w:t>
      </w:r>
    </w:p>
    <w:p>
      <w:pPr>
        <w:spacing w:before="0" w:after="100" w:line="276" w:lineRule="auto"/>
      </w:pPr>
      <w:r>
        <w:rPr>
          <w:rFonts w:ascii="Calibri" w:hAnsi="Calibri"/>
          <w:b/>
          <w:sz w:val="20"/>
        </w:rPr>
        <w:t>Email:</w:t>
      </w:r>
      <w:r>
        <w:rPr>
          <w:rFonts w:ascii="Calibri" w:hAnsi="Calibri"/>
          <w:sz w:val="20"/>
        </w:rPr>
        <w:t xml:space="preserve"> m22sl009@iitj.ac.in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Niharika Maiti</w:t>
      </w:r>
    </w:p>
    <w:p>
      <w:pPr>
        <w:spacing w:before="0" w:after="100" w:line="276" w:lineRule="auto"/>
      </w:pPr>
      <w:r>
        <w:rPr>
          <w:rFonts w:ascii="Calibri" w:hAnsi="Calibri"/>
          <w:b/>
          <w:sz w:val="20"/>
        </w:rPr>
        <w:t>Research Interest:</w:t>
      </w:r>
      <w:r>
        <w:rPr>
          <w:rFonts w:ascii="Calibri" w:hAnsi="Calibri"/>
          <w:sz w:val="20"/>
        </w:rPr>
        <w:t xml:space="preserve"> Behavioral economics, Environmental Economics, Sociology</w:t>
      </w:r>
    </w:p>
    <w:p>
      <w:pPr>
        <w:spacing w:before="0" w:after="100" w:line="276" w:lineRule="auto"/>
      </w:pPr>
      <w:r>
        <w:rPr>
          <w:rFonts w:ascii="Calibri" w:hAnsi="Calibri"/>
          <w:b/>
          <w:sz w:val="20"/>
        </w:rPr>
        <w:t>Email:</w:t>
      </w:r>
      <w:r>
        <w:rPr>
          <w:rFonts w:ascii="Calibri" w:hAnsi="Calibri"/>
          <w:sz w:val="20"/>
        </w:rPr>
        <w:t xml:space="preserve"> m22sl004@iitj.ac.in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Manya Khanna</w:t>
      </w:r>
    </w:p>
    <w:p>
      <w:pPr>
        <w:spacing w:before="0" w:after="100" w:line="276" w:lineRule="auto"/>
      </w:pPr>
      <w:r>
        <w:rPr>
          <w:rFonts w:ascii="Calibri" w:hAnsi="Calibri"/>
          <w:b/>
          <w:sz w:val="20"/>
        </w:rPr>
        <w:t>Research Interest:</w:t>
      </w:r>
      <w:r>
        <w:rPr>
          <w:rFonts w:ascii="Calibri" w:hAnsi="Calibri"/>
          <w:sz w:val="20"/>
        </w:rPr>
        <w:t xml:space="preserve"> Econometrics, Computational Economics, ML &amp; Data Analytics, Game Theory, Responsible AI, UX design &amp; Research</w:t>
      </w:r>
    </w:p>
    <w:p>
      <w:pPr>
        <w:spacing w:before="0" w:after="100" w:line="276" w:lineRule="auto"/>
      </w:pPr>
      <w:r>
        <w:rPr>
          <w:rFonts w:ascii="Calibri" w:hAnsi="Calibri"/>
          <w:b/>
          <w:sz w:val="20"/>
        </w:rPr>
        <w:t>Email:</w:t>
      </w:r>
      <w:r>
        <w:rPr>
          <w:rFonts w:ascii="Calibri" w:hAnsi="Calibri"/>
          <w:sz w:val="20"/>
        </w:rPr>
        <w:t xml:space="preserve"> m22sl003@iitj.ac.in</w:t>
      </w:r>
    </w:p>
    <w:p>
      <w:pPr>
        <w:spacing w:before="0" w:after="100" w:line="276" w:lineRule="auto"/>
      </w:pPr>
      <w:r>
        <w:rPr>
          <w:rFonts w:ascii="Calibri" w:hAnsi="Calibri"/>
          <w:b/>
          <w:sz w:val="20"/>
        </w:rPr>
        <w:t>Admission Year:</w:t>
      </w:r>
      <w:r>
        <w:rPr>
          <w:rFonts w:ascii="Calibri" w:hAnsi="Calibri"/>
          <w:sz w:val="20"/>
        </w:rPr>
        <w:t xml:space="preserve"> 2022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Aarushi Pradhan</w:t>
      </w:r>
    </w:p>
    <w:p>
      <w:pPr>
        <w:spacing w:before="0" w:after="100" w:line="276" w:lineRule="auto"/>
      </w:pPr>
      <w:r>
        <w:rPr>
          <w:rFonts w:ascii="Calibri" w:hAnsi="Calibri"/>
          <w:b/>
          <w:sz w:val="20"/>
        </w:rPr>
        <w:t>Research Interest:</w:t>
      </w:r>
    </w:p>
    <w:p>
      <w:pPr>
        <w:spacing w:before="0" w:after="100" w:line="276" w:lineRule="auto"/>
      </w:pPr>
      <w:r>
        <w:rPr>
          <w:rFonts w:ascii="Calibri" w:hAnsi="Calibri"/>
          <w:b/>
          <w:sz w:val="20"/>
        </w:rPr>
        <w:t>Email:</w:t>
      </w:r>
      <w:r>
        <w:rPr>
          <w:rFonts w:ascii="Calibri" w:hAnsi="Calibri"/>
          <w:sz w:val="20"/>
        </w:rPr>
        <w:t xml:space="preserve"> m23la1001@iitj.ac.in</w:t>
      </w:r>
    </w:p>
    <w:p>
      <w:pPr>
        <w:spacing w:before="0" w:after="100" w:line="276" w:lineRule="auto"/>
      </w:pPr>
      <w:r>
        <w:rPr>
          <w:rFonts w:ascii="Calibri" w:hAnsi="Calibri"/>
          <w:b/>
          <w:sz w:val="20"/>
        </w:rPr>
        <w:t>Admission Year:</w:t>
      </w:r>
      <w:r>
        <w:rPr>
          <w:rFonts w:ascii="Calibri" w:hAnsi="Calibri"/>
          <w:sz w:val="20"/>
        </w:rPr>
        <w:t xml:space="preserve"> 2032</w:t>
      </w:r>
    </w:p>
    <w:p>
      <w:pPr>
        <w:spacing w:before="0" w:after="100" w:line="276" w:lineRule="auto"/>
      </w:pPr>
      <w:r>
        <w:rPr>
          <w:rFonts w:ascii="Calibri" w:hAnsi="Calibri"/>
          <w:b/>
          <w:sz w:val="20"/>
        </w:rPr>
        <w:t>Course:</w:t>
      </w:r>
      <w:r>
        <w:rPr>
          <w:rFonts w:ascii="Calibri" w:hAnsi="Calibri"/>
          <w:sz w:val="20"/>
        </w:rPr>
        <w:t xml:space="preserve"> MSc. Computational Social Science</w:t>
      </w:r>
    </w:p>
    <w:p>
      <w:pPr>
        <w:keepNext/>
        <w:spacing w:before="280" w:after="80"/>
      </w:pPr>
      <w:r>
        <w:rPr>
          <w:rFonts w:ascii="Calibri" w:hAnsi="Calibri"/>
          <w:color w:val="003366"/>
          <w:sz w:val="26"/>
        </w:rPr>
        <w:t>MASTERS IN COMPUTATIONAL SOCIAL SCIENCE (MSc. CSS)</w:t>
      </w:r>
    </w:p>
    <w:p>
      <w:pPr>
        <w:spacing w:before="0" w:after="100" w:line="276" w:lineRule="auto"/>
      </w:pPr>
      <w:r>
        <w:rPr>
          <w:rFonts w:ascii="Calibri" w:hAnsi="Calibri"/>
          <w:sz w:val="20"/>
        </w:rPr>
        <w:t xml:space="preserve">The </w:t>
      </w:r>
      <w:r>
        <w:rPr>
          <w:rFonts w:ascii="Calibri" w:hAnsi="Calibri"/>
          <w:b/>
          <w:sz w:val="20"/>
        </w:rPr>
        <w:t>Masters in Computational Social Science (MSc. CSS)</w:t>
      </w:r>
      <w:r>
        <w:rPr>
          <w:rFonts w:ascii="Calibri" w:hAnsi="Calibri"/>
          <w:sz w:val="20"/>
        </w:rPr>
        <w:t xml:space="preserve"> , which commenced in July 2022, is the flagship program of the School of Liberal Arts (SoLA), Indian Institute of Technology (IIT) Jodhpur. The program seeks to develop highly-skilled graduates equipped with theoretical, technical, and application-oriented knowledge that will enable them to construct, improve, analyze and apply theoretically-informed models to understand processes and phenomena. Bridging disciplines and technical expertise, this program is also in line with the National Education Policy (2020), and also with the Government of India’s Vision 2047 which seeks future skill sets for a future society.</w:t>
      </w:r>
    </w:p>
    <w:p>
      <w:pPr>
        <w:spacing w:before="0" w:after="100" w:line="276" w:lineRule="auto"/>
      </w:pPr>
      <w:r>
        <w:rPr>
          <w:rFonts w:ascii="Calibri" w:hAnsi="Calibri"/>
          <w:b/>
          <w:sz w:val="20"/>
        </w:rPr>
        <w:t>Program Description:</w:t>
      </w:r>
      <w:r>
        <w:rPr>
          <w:rFonts w:ascii="Calibri" w:hAnsi="Calibri"/>
          <w:sz w:val="20"/>
        </w:rPr>
        <w:t xml:space="preserve"> In the first year, students are exposed to introductory papers in the intersection of social science and computational methods (including Statistics, Programming in R, Machine Learning, Data Visualization etc.). These are aimed at preparing students to undertake tasks in data analytics and to derive insights.</w:t>
      </w:r>
    </w:p>
    <w:p>
      <w:pPr>
        <w:pStyle w:val="ListNumber"/>
        <w:spacing w:before="20" w:after="40"/>
      </w:pPr>
      <w:r>
        <w:rPr>
          <w:rFonts w:ascii="Calibri" w:hAnsi="Calibri"/>
          <w:sz w:val="20"/>
        </w:rPr>
        <w:t>Fundamentals of CSS</w:t>
      </w:r>
    </w:p>
    <w:p>
      <w:pPr>
        <w:pStyle w:val="ListNumber"/>
        <w:spacing w:before="20" w:after="40"/>
      </w:pPr>
      <w:r>
        <w:rPr>
          <w:rFonts w:ascii="Calibri" w:hAnsi="Calibri"/>
          <w:sz w:val="20"/>
        </w:rPr>
        <w:t>Social Science Research Methods I</w:t>
      </w:r>
    </w:p>
    <w:p>
      <w:pPr>
        <w:pStyle w:val="ListNumber"/>
        <w:spacing w:before="20" w:after="40"/>
      </w:pPr>
      <w:r>
        <w:rPr>
          <w:rFonts w:ascii="Calibri" w:hAnsi="Calibri"/>
          <w:sz w:val="20"/>
        </w:rPr>
        <w:t>Perspectives in Computational Sociology</w:t>
      </w:r>
    </w:p>
    <w:p>
      <w:pPr>
        <w:pStyle w:val="ListNumber"/>
        <w:spacing w:before="20" w:after="40"/>
      </w:pPr>
      <w:r>
        <w:rPr>
          <w:rFonts w:ascii="Calibri" w:hAnsi="Calibri"/>
          <w:sz w:val="20"/>
        </w:rPr>
        <w:t>Understanding Social Realities</w:t>
      </w:r>
    </w:p>
    <w:p>
      <w:pPr>
        <w:pStyle w:val="ListNumber"/>
        <w:spacing w:before="20" w:after="40"/>
      </w:pPr>
      <w:r>
        <w:rPr>
          <w:rFonts w:ascii="Calibri" w:hAnsi="Calibri"/>
          <w:sz w:val="20"/>
        </w:rPr>
        <w:t>Principles of Macroeconomics</w:t>
      </w:r>
    </w:p>
    <w:p>
      <w:pPr>
        <w:pStyle w:val="ListNumber"/>
        <w:spacing w:before="20" w:after="40"/>
      </w:pPr>
      <w:r>
        <w:rPr>
          <w:rFonts w:ascii="Calibri" w:hAnsi="Calibri"/>
          <w:sz w:val="20"/>
        </w:rPr>
        <w:t>Ethics for CSS</w:t>
      </w:r>
    </w:p>
    <w:p>
      <w:pPr>
        <w:pStyle w:val="ListNumber"/>
        <w:spacing w:before="20" w:after="40"/>
      </w:pPr>
      <w:r>
        <w:rPr>
          <w:rFonts w:ascii="Calibri" w:hAnsi="Calibri"/>
          <w:sz w:val="20"/>
        </w:rPr>
        <w:t>Seminar in CSS</w:t>
      </w:r>
    </w:p>
    <w:p>
      <w:pPr>
        <w:pStyle w:val="ListNumber"/>
        <w:spacing w:before="20" w:after="40"/>
      </w:pPr>
      <w:r>
        <w:rPr>
          <w:rFonts w:ascii="Calibri" w:hAnsi="Calibri"/>
          <w:sz w:val="20"/>
        </w:rPr>
        <w:t>Introduction to Computational Methods for CSS</w:t>
      </w:r>
    </w:p>
    <w:p>
      <w:pPr>
        <w:pStyle w:val="ListNumber"/>
        <w:spacing w:before="20" w:after="40"/>
      </w:pPr>
      <w:r>
        <w:rPr>
          <w:rFonts w:ascii="Calibri" w:hAnsi="Calibri"/>
          <w:sz w:val="20"/>
        </w:rPr>
        <w:t>Social Science Research Methods II</w:t>
      </w:r>
    </w:p>
    <w:p>
      <w:pPr>
        <w:pStyle w:val="ListNumber"/>
        <w:spacing w:before="20" w:after="40"/>
      </w:pPr>
      <w:r>
        <w:rPr>
          <w:rFonts w:ascii="Calibri" w:hAnsi="Calibri"/>
          <w:sz w:val="20"/>
        </w:rPr>
        <w:t>Introduction to Policy Analysis</w:t>
      </w:r>
    </w:p>
    <w:p>
      <w:pPr>
        <w:pStyle w:val="ListNumber"/>
        <w:spacing w:before="20" w:after="40"/>
      </w:pPr>
      <w:r>
        <w:rPr>
          <w:rFonts w:ascii="Calibri" w:hAnsi="Calibri"/>
          <w:sz w:val="20"/>
        </w:rPr>
        <w:t>Individual and Strategic Decision Making: Theory and Applications</w:t>
      </w:r>
    </w:p>
    <w:p>
      <w:pPr>
        <w:pStyle w:val="ListNumber"/>
        <w:spacing w:before="20" w:after="40"/>
      </w:pPr>
      <w:r>
        <w:rPr>
          <w:rFonts w:ascii="Calibri" w:hAnsi="Calibri"/>
          <w:sz w:val="20"/>
        </w:rPr>
        <w:t>Microeconomics I</w:t>
      </w:r>
    </w:p>
    <w:p>
      <w:pPr>
        <w:pStyle w:val="ListNumber"/>
        <w:spacing w:before="20" w:after="40"/>
      </w:pPr>
      <w:r>
        <w:rPr>
          <w:rFonts w:ascii="Calibri" w:hAnsi="Calibri"/>
          <w:sz w:val="20"/>
        </w:rPr>
        <w:t>Machine Learning</w:t>
      </w:r>
    </w:p>
    <w:p>
      <w:pPr>
        <w:pStyle w:val="ListNumber"/>
        <w:spacing w:before="20" w:after="40"/>
      </w:pPr>
      <w:r>
        <w:rPr>
          <w:rFonts w:ascii="Calibri" w:hAnsi="Calibri"/>
          <w:sz w:val="20"/>
        </w:rPr>
        <w:t>Peer Learning: Preparation for Project</w:t>
      </w:r>
    </w:p>
    <w:p>
      <w:pPr>
        <w:spacing w:before="0" w:after="100" w:line="276" w:lineRule="auto"/>
      </w:pPr>
      <w:r>
        <w:rPr>
          <w:rFonts w:ascii="Calibri" w:hAnsi="Calibri"/>
          <w:sz w:val="20"/>
        </w:rPr>
        <w:t>In their second year, students will be able to specialize in:</w:t>
      </w:r>
    </w:p>
    <w:p>
      <w:pPr>
        <w:spacing w:before="0" w:after="100" w:line="276" w:lineRule="auto"/>
      </w:pPr>
      <w:r>
        <w:rPr>
          <w:rFonts w:ascii="Calibri" w:hAnsi="Calibri"/>
          <w:sz w:val="20"/>
        </w:rPr>
        <w:t>(1) Computational Sociology</w:t>
      </w:r>
    </w:p>
    <w:p>
      <w:pPr>
        <w:spacing w:before="0" w:after="100" w:line="276" w:lineRule="auto"/>
      </w:pPr>
      <w:r>
        <w:rPr>
          <w:rFonts w:ascii="Calibri" w:hAnsi="Calibri"/>
          <w:sz w:val="20"/>
        </w:rPr>
        <w:t>(2). Mathematical and Computational Economics [or]</w:t>
      </w:r>
    </w:p>
    <w:p>
      <w:pPr>
        <w:spacing w:before="0" w:after="100" w:line="276" w:lineRule="auto"/>
      </w:pPr>
      <w:r>
        <w:rPr>
          <w:rFonts w:ascii="Calibri" w:hAnsi="Calibri"/>
          <w:sz w:val="20"/>
        </w:rPr>
        <w:t>(3) A Guided Curated Option for those who would like to opt for courses from both streams.</w:t>
      </w:r>
    </w:p>
    <w:p>
      <w:pPr>
        <w:spacing w:before="0" w:after="100" w:line="276" w:lineRule="auto"/>
      </w:pPr>
      <w:r>
        <w:rPr>
          <w:rFonts w:ascii="Calibri" w:hAnsi="Calibri"/>
          <w:sz w:val="20"/>
        </w:rPr>
        <w:t>The final semester of the course requires students to undertake a compulsory project at a relevant business / company / industry; or, at an academic organization.</w:t>
      </w:r>
    </w:p>
    <w:p>
      <w:pPr>
        <w:keepNext/>
        <w:spacing w:before="280" w:after="80"/>
      </w:pPr>
      <w:r>
        <w:rPr>
          <w:rFonts w:ascii="Calibri" w:hAnsi="Calibri"/>
          <w:color w:val="003366"/>
          <w:sz w:val="26"/>
        </w:rPr>
        <w:t>Psychology</w:t>
      </w:r>
    </w:p>
    <w:tbl>
      <w:tblPr>
        <w:tblStyle w:val="TableGrid"/>
        <w:tblW w:type="auto" w:w="0"/>
        <w:jc w:val="center"/>
        <w:tblLayout w:type="autofit"/>
        <w:tblLook w:firstColumn="1" w:firstRow="1" w:lastColumn="0" w:lastRow="0" w:noHBand="0" w:noVBand="1" w:val="04A0"/>
      </w:tblPr>
      <w:tblGrid>
        <w:gridCol w:w="9360"/>
      </w:tblGrid>
      <w:tr>
        <w:tc>
          <w:tcPr>
            <w:tcW w:type="dxa" w:w="9360"/>
            <w:shd w:fill="003366"/>
          </w:tcPr>
          <w:p>
            <w:pPr>
              <w:spacing w:before="60" w:after="60"/>
            </w:pPr>
            <w:r>
              <w:rPr>
                <w:rFonts w:ascii="Calibri" w:hAnsi="Calibri"/>
                <w:color w:val="FFFFFF"/>
                <w:sz w:val="19"/>
              </w:rPr>
              <w:t>Principles of Psychology (OE)</w:t>
            </w:r>
          </w:p>
        </w:tc>
      </w:tr>
      <w:tr>
        <w:tc>
          <w:tcPr>
            <w:tcW w:type="dxa" w:w="9360"/>
            <w:shd w:fill="F5F8FA"/>
          </w:tcPr>
          <w:p>
            <w:pPr>
              <w:spacing w:before="60" w:after="60"/>
            </w:pPr>
            <w:r>
              <w:rPr>
                <w:rFonts w:ascii="Calibri" w:hAnsi="Calibri"/>
                <w:sz w:val="19"/>
              </w:rPr>
              <w:t>Basics of Leadership (OE)</w:t>
            </w:r>
          </w:p>
        </w:tc>
      </w:tr>
      <w:tr>
        <w:tc>
          <w:tcPr>
            <w:tcW w:type="dxa" w:w="9360"/>
          </w:tcPr>
          <w:p>
            <w:pPr>
              <w:spacing w:before="60" w:after="60"/>
            </w:pPr>
            <w:r>
              <w:rPr>
                <w:rFonts w:ascii="Calibri" w:hAnsi="Calibri"/>
                <w:sz w:val="19"/>
              </w:rPr>
              <w:t>Life and Professional Skill Development (OE)</w:t>
            </w:r>
          </w:p>
        </w:tc>
      </w:tr>
      <w:tr>
        <w:tc>
          <w:tcPr>
            <w:tcW w:type="dxa" w:w="9360"/>
            <w:shd w:fill="F5F8FA"/>
          </w:tcPr>
          <w:p>
            <w:pPr>
              <w:spacing w:before="60" w:after="60"/>
            </w:pPr>
            <w:r>
              <w:rPr>
                <w:rFonts w:ascii="Calibri" w:hAnsi="Calibri"/>
                <w:sz w:val="19"/>
              </w:rPr>
              <w:t>Positive Psychology and Wellbeing (OE)</w:t>
            </w:r>
          </w:p>
        </w:tc>
      </w:tr>
      <w:tr>
        <w:tc>
          <w:tcPr>
            <w:tcW w:type="dxa" w:w="9360"/>
          </w:tcPr>
          <w:p>
            <w:pPr>
              <w:spacing w:before="60" w:after="60"/>
            </w:pPr>
            <w:r>
              <w:rPr>
                <w:rFonts w:ascii="Calibri" w:hAnsi="Calibri"/>
                <w:sz w:val="19"/>
              </w:rPr>
              <w:t>Theories of Intelligence (CBSA, AIDE) (OE)</w:t>
            </w:r>
          </w:p>
        </w:tc>
      </w:tr>
      <w:tr>
        <w:tc>
          <w:tcPr>
            <w:tcW w:type="dxa" w:w="9360"/>
            <w:shd w:fill="F5F8FA"/>
          </w:tcPr>
          <w:p>
            <w:pPr>
              <w:spacing w:before="60" w:after="60"/>
            </w:pPr>
            <w:r>
              <w:rPr>
                <w:rFonts w:ascii="Calibri" w:hAnsi="Calibri"/>
                <w:sz w:val="19"/>
              </w:rPr>
              <w:t>Advance Cognitive Processes ((CBSA, AIDE)) (OE)</w:t>
            </w:r>
          </w:p>
        </w:tc>
      </w:tr>
      <w:tr>
        <w:tc>
          <w:tcPr>
            <w:tcW w:type="dxa" w:w="9360"/>
          </w:tcPr>
          <w:p>
            <w:pPr>
              <w:spacing w:before="60" w:after="60"/>
            </w:pPr>
            <w:r>
              <w:rPr>
                <w:rFonts w:ascii="Calibri" w:hAnsi="Calibri"/>
                <w:sz w:val="19"/>
              </w:rPr>
              <w:t>Engineering Psychology (OE)</w:t>
            </w:r>
          </w:p>
        </w:tc>
      </w:tr>
      <w:tr>
        <w:tc>
          <w:tcPr>
            <w:tcW w:type="dxa" w:w="9360"/>
            <w:shd w:fill="F5F8FA"/>
          </w:tcPr>
          <w:p>
            <w:pPr>
              <w:spacing w:before="60" w:after="60"/>
            </w:pPr>
            <w:r>
              <w:rPr>
                <w:rFonts w:ascii="Calibri" w:hAnsi="Calibri"/>
                <w:sz w:val="19"/>
              </w:rPr>
              <w:t>Cognitive Psychology (OE)</w:t>
            </w:r>
          </w:p>
        </w:tc>
      </w:tr>
      <w:tr>
        <w:tc>
          <w:tcPr>
            <w:tcW w:type="dxa" w:w="9360"/>
          </w:tcPr>
          <w:p>
            <w:pPr>
              <w:spacing w:before="60" w:after="60"/>
            </w:pPr>
            <w:r>
              <w:rPr>
                <w:rFonts w:ascii="Calibri" w:hAnsi="Calibri"/>
                <w:sz w:val="19"/>
              </w:rPr>
              <w:t>Introduction to Cognitive Neuroscience (OE)</w:t>
            </w:r>
          </w:p>
        </w:tc>
      </w:tr>
      <w:tr>
        <w:tc>
          <w:tcPr>
            <w:tcW w:type="dxa" w:w="9360"/>
            <w:shd w:fill="F5F8FA"/>
          </w:tcPr>
          <w:p>
            <w:pPr>
              <w:spacing w:before="60" w:after="60"/>
            </w:pPr>
            <w:r>
              <w:rPr>
                <w:rFonts w:ascii="Calibri" w:hAnsi="Calibri"/>
                <w:sz w:val="19"/>
              </w:rPr>
              <w:t>Qualitative and Quantitative Methodology</w:t>
            </w:r>
          </w:p>
        </w:tc>
      </w:tr>
      <w:tr>
        <w:tc>
          <w:tcPr>
            <w:tcW w:type="dxa" w:w="9360"/>
          </w:tcPr>
          <w:p>
            <w:pPr>
              <w:spacing w:before="60" w:after="60"/>
            </w:pPr>
            <w:r>
              <w:rPr>
                <w:rFonts w:ascii="Calibri" w:hAnsi="Calibri"/>
                <w:sz w:val="19"/>
              </w:rPr>
              <w:t>Mental Illness and Mental Health</w:t>
            </w:r>
          </w:p>
        </w:tc>
      </w:tr>
      <w:tr>
        <w:tc>
          <w:tcPr>
            <w:tcW w:type="dxa" w:w="9360"/>
            <w:shd w:fill="F5F8FA"/>
          </w:tcPr>
          <w:p>
            <w:pPr>
              <w:spacing w:before="60" w:after="60"/>
            </w:pPr>
            <w:r>
              <w:rPr>
                <w:rFonts w:ascii="Calibri" w:hAnsi="Calibri"/>
                <w:sz w:val="19"/>
              </w:rPr>
              <w:t>Biases and Human Decision Making</w:t>
            </w:r>
          </w:p>
        </w:tc>
      </w:tr>
    </w:tbl>
    <w:p>
      <w:pPr>
        <w:spacing w:before="0" w:after="120"/>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https://www.iitj.ac.in/school-of-liberal-arts/en/Vision-and-Mission</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https://www.iitj.ac.in/school-of-liberal-arts/en/msc-students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https://www.iitj.ac.in/school-of-liberal-arts/en/student-achievements-archive</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https://www.iitj.ac.in/school-of-liberal-arts/en/school-of-liberal-arts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https://www.iitj.ac.in/school-of-liberal-arts</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https://www.iitj.ac.in/school-of-liberal-arts/en/doctoral-program</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https://www.iitj.ac.in/school-of-liberal-arts/en/postgraduate-program-computational-social-science-(msc</w:t>
        </w:r>
      </w:hyperlink>
    </w:p>
    <w:p>
      <w:pPr>
        <w:pStyle w:val="ListBullet"/>
        <w:spacing w:before="20" w:after="40"/>
      </w:pPr>
      <w:r>
        <w:rPr>
          <w:rFonts w:ascii="Calibri" w:hAnsi="Calibri"/>
          <w:sz w:val="20"/>
        </w:rPr>
        <w:t xml:space="preserve">Traceable Knowledge Units: </w:t>
      </w:r>
      <w:r>
        <w:rPr>
          <w:rFonts w:ascii="Consolas" w:hAnsi="Consolas"/>
          <w:color w:val="333333"/>
          <w:sz w:val="19"/>
        </w:rPr>
        <w:t>033098d856709f1f</w:t>
      </w:r>
      <w:r>
        <w:rPr>
          <w:rFonts w:ascii="Calibri" w:hAnsi="Calibri"/>
          <w:sz w:val="20"/>
        </w:rPr>
        <w:t xml:space="preserve">, </w:t>
      </w:r>
      <w:r>
        <w:rPr>
          <w:rFonts w:ascii="Consolas" w:hAnsi="Consolas"/>
          <w:color w:val="333333"/>
          <w:sz w:val="19"/>
        </w:rPr>
        <w:t>0ab6e0f0e4228560</w:t>
      </w:r>
      <w:r>
        <w:rPr>
          <w:rFonts w:ascii="Calibri" w:hAnsi="Calibri"/>
          <w:sz w:val="20"/>
        </w:rPr>
        <w:t xml:space="preserve">, </w:t>
      </w:r>
      <w:r>
        <w:rPr>
          <w:rFonts w:ascii="Consolas" w:hAnsi="Consolas"/>
          <w:color w:val="333333"/>
          <w:sz w:val="19"/>
        </w:rPr>
        <w:t>0e328a5fdff7121a</w:t>
      </w:r>
      <w:r>
        <w:rPr>
          <w:rFonts w:ascii="Calibri" w:hAnsi="Calibri"/>
          <w:sz w:val="20"/>
        </w:rPr>
        <w:t xml:space="preserve">, </w:t>
      </w:r>
      <w:r>
        <w:rPr>
          <w:rFonts w:ascii="Consolas" w:hAnsi="Consolas"/>
          <w:color w:val="333333"/>
          <w:sz w:val="19"/>
        </w:rPr>
        <w:t>13a401f346ee8bbc</w:t>
      </w:r>
      <w:r>
        <w:rPr>
          <w:rFonts w:ascii="Calibri" w:hAnsi="Calibri"/>
          <w:sz w:val="20"/>
        </w:rPr>
        <w:t xml:space="preserve">, </w:t>
      </w:r>
      <w:r>
        <w:rPr>
          <w:rFonts w:ascii="Consolas" w:hAnsi="Consolas"/>
          <w:color w:val="333333"/>
          <w:sz w:val="19"/>
        </w:rPr>
        <w:t>2afb869a6bd26c1f</w:t>
      </w:r>
      <w:r>
        <w:rPr>
          <w:rFonts w:ascii="Calibri" w:hAnsi="Calibri"/>
          <w:sz w:val="20"/>
        </w:rPr>
        <w:t xml:space="preserve">, </w:t>
      </w:r>
      <w:r>
        <w:rPr>
          <w:rFonts w:ascii="Consolas" w:hAnsi="Consolas"/>
          <w:color w:val="333333"/>
          <w:sz w:val="19"/>
        </w:rPr>
        <w:t>f5900c678ac73969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school-of-liberal-arts/en/Vision-and-Mission" TargetMode="External"/><Relationship Id="rId10" Type="http://schemas.openxmlformats.org/officeDocument/2006/relationships/hyperlink" Target="https://iitj.ac.in/" TargetMode="External"/><Relationship Id="rId11" Type="http://schemas.openxmlformats.org/officeDocument/2006/relationships/hyperlink" Target="https://www.iitj.ac.in/school-of-liberal-arts/en/msc-students" TargetMode="External"/><Relationship Id="rId12" Type="http://schemas.openxmlformats.org/officeDocument/2006/relationships/hyperlink" Target="https://www.iitj.ac.in/school-of-liberal-arts/en/student-achievements-archive" TargetMode="External"/><Relationship Id="rId13" Type="http://schemas.openxmlformats.org/officeDocument/2006/relationships/hyperlink" Target="https://www.iitj.ac.in/school-of-liberal-arts/en/school-of-liberal-arts" TargetMode="External"/><Relationship Id="rId14" Type="http://schemas.openxmlformats.org/officeDocument/2006/relationships/hyperlink" Target="https://www.iitj.ac.in/school-of-liberal-arts" TargetMode="External"/><Relationship Id="rId15" Type="http://schemas.openxmlformats.org/officeDocument/2006/relationships/hyperlink" Target="https://www.iitj.ac.in/school-of-liberal-arts/en/doctoral-program" TargetMode="External"/><Relationship Id="rId16" Type="http://schemas.openxmlformats.org/officeDocument/2006/relationships/hyperlink" Target="https://www.iitj.ac.in/school-of-liberal-arts/en/postgraduate-program-computational-social-science-(m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